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B8" w:rsidRDefault="00316CB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16CB8" w:rsidRDefault="00316CB8">
      <w:pPr>
        <w:pStyle w:val="ConsPlusNormal"/>
        <w:jc w:val="center"/>
      </w:pPr>
    </w:p>
    <w:p w:rsidR="00316CB8" w:rsidRDefault="00316CB8">
      <w:pPr>
        <w:pStyle w:val="ConsPlusTitle"/>
        <w:jc w:val="center"/>
      </w:pPr>
      <w:r>
        <w:t>ПРАВИТЕЛЬСТВО РОССИЙСКОЙ ФЕДЕРАЦИИ</w:t>
      </w:r>
    </w:p>
    <w:p w:rsidR="00316CB8" w:rsidRDefault="00316CB8">
      <w:pPr>
        <w:pStyle w:val="ConsPlusTitle"/>
        <w:jc w:val="center"/>
      </w:pPr>
    </w:p>
    <w:p w:rsidR="00316CB8" w:rsidRDefault="00316CB8">
      <w:pPr>
        <w:pStyle w:val="ConsPlusTitle"/>
        <w:jc w:val="center"/>
      </w:pPr>
      <w:r>
        <w:t>РАСПОРЯЖЕНИЕ</w:t>
      </w:r>
    </w:p>
    <w:p w:rsidR="00316CB8" w:rsidRDefault="00316CB8">
      <w:pPr>
        <w:pStyle w:val="ConsPlusTitle"/>
        <w:jc w:val="center"/>
      </w:pPr>
      <w:r>
        <w:t>от 26 сентября 2013 г. N 1744-р</w:t>
      </w:r>
    </w:p>
    <w:p w:rsidR="00316CB8" w:rsidRDefault="00316CB8">
      <w:pPr>
        <w:pStyle w:val="ConsPlusNormal"/>
        <w:jc w:val="center"/>
      </w:pPr>
      <w:r>
        <w:t>Список изменяющих документов</w:t>
      </w:r>
    </w:p>
    <w:p w:rsidR="00316CB8" w:rsidRDefault="00316CB8">
      <w:pPr>
        <w:pStyle w:val="ConsPlusNormal"/>
        <w:jc w:val="center"/>
      </w:pPr>
      <w:proofErr w:type="gramStart"/>
      <w:r>
        <w:t xml:space="preserve">(в ред. распоряжений Правительства РФ от 02.07.2014 </w:t>
      </w:r>
      <w:hyperlink r:id="rId6" w:history="1">
        <w:r>
          <w:rPr>
            <w:color w:val="0000FF"/>
          </w:rPr>
          <w:t>N 1211-р</w:t>
        </w:r>
      </w:hyperlink>
      <w:r>
        <w:t>,</w:t>
      </w:r>
      <w:proofErr w:type="gramEnd"/>
    </w:p>
    <w:p w:rsidR="00316CB8" w:rsidRDefault="00316CB8">
      <w:pPr>
        <w:pStyle w:val="ConsPlusNormal"/>
        <w:jc w:val="center"/>
      </w:pPr>
      <w:r>
        <w:t xml:space="preserve">от 20.08.2015 </w:t>
      </w:r>
      <w:hyperlink r:id="rId7" w:history="1">
        <w:r>
          <w:rPr>
            <w:color w:val="0000FF"/>
          </w:rPr>
          <w:t>N 1622-р</w:t>
        </w:r>
      </w:hyperlink>
      <w:r>
        <w:t xml:space="preserve">, от 29.12.2015 </w:t>
      </w:r>
      <w:hyperlink r:id="rId8" w:history="1">
        <w:r>
          <w:rPr>
            <w:color w:val="0000FF"/>
          </w:rPr>
          <w:t>N 2737-р</w:t>
        </w:r>
      </w:hyperlink>
      <w:r>
        <w:t>)</w:t>
      </w:r>
    </w:p>
    <w:p w:rsidR="00316CB8" w:rsidRDefault="00316CB8">
      <w:pPr>
        <w:pStyle w:val="ConsPlusNormal"/>
        <w:jc w:val="center"/>
      </w:pPr>
    </w:p>
    <w:p w:rsidR="00316CB8" w:rsidRDefault="00316CB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план</w:t>
        </w:r>
      </w:hyperlink>
      <w:r>
        <w:t xml:space="preserve"> мероприятий ("дорожную карту") "Совершенствование оценочной деятельности" (далее - план).</w:t>
      </w:r>
    </w:p>
    <w:p w:rsidR="00316CB8" w:rsidRDefault="00316CB8">
      <w:pPr>
        <w:pStyle w:val="ConsPlusNormal"/>
        <w:ind w:firstLine="540"/>
        <w:jc w:val="both"/>
      </w:pPr>
      <w:r>
        <w:t>2. Руководителям федеральных органов исполнительной власти, ответственных за реализацию плана:</w:t>
      </w:r>
    </w:p>
    <w:p w:rsidR="00316CB8" w:rsidRDefault="00316CB8">
      <w:pPr>
        <w:pStyle w:val="ConsPlusNormal"/>
        <w:ind w:firstLine="540"/>
        <w:jc w:val="both"/>
      </w:pPr>
      <w:r>
        <w:t>обеспечить реализацию плана;</w:t>
      </w:r>
    </w:p>
    <w:p w:rsidR="00316CB8" w:rsidRDefault="00316CB8">
      <w:pPr>
        <w:pStyle w:val="ConsPlusNormal"/>
        <w:ind w:firstLine="540"/>
        <w:jc w:val="both"/>
      </w:pPr>
      <w:r>
        <w:t>ежеквартально, до 5-го числа месяца, следующего за отчетным кварталом, представлять в Минэкономразвития России информацию о ходе реализации плана.</w:t>
      </w:r>
    </w:p>
    <w:p w:rsidR="00316CB8" w:rsidRDefault="00316CB8">
      <w:pPr>
        <w:pStyle w:val="ConsPlusNormal"/>
        <w:ind w:firstLine="540"/>
        <w:jc w:val="both"/>
      </w:pPr>
      <w:r>
        <w:t xml:space="preserve">3. Мониторинг и контроль реализации плана осуществлять в соответствии с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сентября 2012 г. N 1613-р.</w:t>
      </w:r>
    </w:p>
    <w:p w:rsidR="00316CB8" w:rsidRDefault="00316CB8">
      <w:pPr>
        <w:pStyle w:val="ConsPlusNormal"/>
        <w:ind w:firstLine="540"/>
        <w:jc w:val="both"/>
      </w:pPr>
      <w:r>
        <w:t xml:space="preserve">4. </w:t>
      </w:r>
      <w:hyperlink r:id="rId10" w:history="1">
        <w:proofErr w:type="gramStart"/>
        <w:r>
          <w:rPr>
            <w:color w:val="0000FF"/>
          </w:rPr>
          <w:t>Дополнить</w:t>
        </w:r>
      </w:hyperlink>
      <w:r>
        <w:t xml:space="preserve"> перечень федеральных органов исполнительной власти, ответственных за координацию действий ответственных исполнителей и соисполнителей мероприятий планов ("дорожных карт"), направленных на улучшение инвестиционного климата в Российской Федерации, предусмотренный приложением N 1 к распоряжению Правительства Российской Федерации от 6 сентября 2012 г. N 1613-р (Собрание законодательства Российской Федерации, 2012, N 37, ст. 5040;</w:t>
      </w:r>
      <w:proofErr w:type="gramEnd"/>
      <w:r>
        <w:t xml:space="preserve"> </w:t>
      </w:r>
      <w:proofErr w:type="gramStart"/>
      <w:r>
        <w:t>2013, N 34, ст. 4484), позицией следующего содержания:</w:t>
      </w:r>
      <w:proofErr w:type="gramEnd"/>
    </w:p>
    <w:p w:rsidR="00316CB8" w:rsidRDefault="00316CB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1988"/>
        <w:gridCol w:w="7041"/>
      </w:tblGrid>
      <w:tr w:rsidR="00316CB8"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316CB8" w:rsidRDefault="00316CB8">
            <w:pPr>
              <w:pStyle w:val="ConsPlusNormal"/>
            </w:pPr>
            <w:r>
              <w:t>"10.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7041" w:type="dxa"/>
            <w:tcBorders>
              <w:top w:val="single" w:sz="4" w:space="0" w:color="auto"/>
              <w:bottom w:val="single" w:sz="4" w:space="0" w:color="auto"/>
            </w:tcBorders>
          </w:tcPr>
          <w:p w:rsidR="00316CB8" w:rsidRDefault="00316CB8">
            <w:pPr>
              <w:pStyle w:val="ConsPlusNormal"/>
            </w:pPr>
            <w:r>
              <w:t>"Совершенствование оценочной деятельности" (</w:t>
            </w:r>
            <w:proofErr w:type="gramStart"/>
            <w:r>
              <w:t>утверждена</w:t>
            </w:r>
            <w:proofErr w:type="gramEnd"/>
            <w:r>
              <w:t xml:space="preserve"> распоряжением Правительства Российской Федерации от 26 сентября 2013 г. N 1744-р)".</w:t>
            </w:r>
          </w:p>
        </w:tc>
      </w:tr>
    </w:tbl>
    <w:p w:rsidR="00316CB8" w:rsidRDefault="00316CB8">
      <w:pPr>
        <w:sectPr w:rsidR="00316CB8" w:rsidSect="0049349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16CB8" w:rsidRDefault="00316CB8">
      <w:pPr>
        <w:pStyle w:val="ConsPlusNormal"/>
        <w:ind w:firstLine="540"/>
        <w:jc w:val="both"/>
      </w:pPr>
    </w:p>
    <w:p w:rsidR="00316CB8" w:rsidRDefault="00316CB8">
      <w:pPr>
        <w:pStyle w:val="ConsPlusNormal"/>
        <w:jc w:val="right"/>
      </w:pPr>
      <w:r>
        <w:t>Председатель Правительства</w:t>
      </w:r>
    </w:p>
    <w:p w:rsidR="00316CB8" w:rsidRDefault="00316CB8">
      <w:pPr>
        <w:pStyle w:val="ConsPlusNormal"/>
        <w:jc w:val="right"/>
      </w:pPr>
      <w:r>
        <w:t>Российской Федерации</w:t>
      </w:r>
    </w:p>
    <w:p w:rsidR="00316CB8" w:rsidRDefault="00316CB8">
      <w:pPr>
        <w:pStyle w:val="ConsPlusNormal"/>
        <w:jc w:val="right"/>
      </w:pPr>
      <w:r>
        <w:t>Д.МЕДВЕДЕВ</w:t>
      </w:r>
    </w:p>
    <w:p w:rsidR="00316CB8" w:rsidRDefault="00316CB8">
      <w:pPr>
        <w:pStyle w:val="ConsPlusNormal"/>
        <w:ind w:firstLine="540"/>
        <w:jc w:val="both"/>
      </w:pPr>
    </w:p>
    <w:p w:rsidR="00316CB8" w:rsidRDefault="00316CB8">
      <w:pPr>
        <w:pStyle w:val="ConsPlusNormal"/>
        <w:ind w:firstLine="540"/>
        <w:jc w:val="both"/>
      </w:pPr>
    </w:p>
    <w:p w:rsidR="00316CB8" w:rsidRDefault="00316CB8">
      <w:pPr>
        <w:pStyle w:val="ConsPlusNormal"/>
        <w:ind w:firstLine="540"/>
        <w:jc w:val="both"/>
      </w:pPr>
    </w:p>
    <w:p w:rsidR="00316CB8" w:rsidRDefault="00316CB8">
      <w:pPr>
        <w:pStyle w:val="ConsPlusNormal"/>
        <w:ind w:firstLine="540"/>
        <w:jc w:val="both"/>
      </w:pPr>
    </w:p>
    <w:p w:rsidR="00316CB8" w:rsidRDefault="00316CB8">
      <w:pPr>
        <w:pStyle w:val="ConsPlusNormal"/>
        <w:ind w:firstLine="540"/>
        <w:jc w:val="both"/>
      </w:pPr>
    </w:p>
    <w:p w:rsidR="00316CB8" w:rsidRDefault="00316CB8">
      <w:pPr>
        <w:pStyle w:val="ConsPlusNormal"/>
        <w:jc w:val="right"/>
      </w:pPr>
      <w:r>
        <w:t>Утвержден</w:t>
      </w:r>
    </w:p>
    <w:p w:rsidR="00316CB8" w:rsidRDefault="00316CB8">
      <w:pPr>
        <w:pStyle w:val="ConsPlusNormal"/>
        <w:jc w:val="right"/>
      </w:pPr>
      <w:r>
        <w:t>распоряжением Правительства</w:t>
      </w:r>
    </w:p>
    <w:p w:rsidR="00316CB8" w:rsidRDefault="00316CB8">
      <w:pPr>
        <w:pStyle w:val="ConsPlusNormal"/>
        <w:jc w:val="right"/>
      </w:pPr>
      <w:r>
        <w:t>Российской Федерации</w:t>
      </w:r>
    </w:p>
    <w:p w:rsidR="00316CB8" w:rsidRDefault="00316CB8">
      <w:pPr>
        <w:pStyle w:val="ConsPlusNormal"/>
        <w:jc w:val="right"/>
      </w:pPr>
      <w:r>
        <w:t>от 26 сентября 2013 г. N 1744-р</w:t>
      </w:r>
    </w:p>
    <w:p w:rsidR="00316CB8" w:rsidRDefault="00316CB8">
      <w:pPr>
        <w:pStyle w:val="ConsPlusNormal"/>
        <w:jc w:val="center"/>
      </w:pPr>
    </w:p>
    <w:p w:rsidR="00316CB8" w:rsidRDefault="00316CB8">
      <w:pPr>
        <w:pStyle w:val="ConsPlusNormal"/>
        <w:jc w:val="center"/>
      </w:pPr>
      <w:bookmarkStart w:id="0" w:name="P33"/>
      <w:bookmarkEnd w:id="0"/>
      <w:r>
        <w:t>ПЛАН</w:t>
      </w:r>
    </w:p>
    <w:p w:rsidR="00316CB8" w:rsidRDefault="00316CB8">
      <w:pPr>
        <w:pStyle w:val="ConsPlusNormal"/>
        <w:jc w:val="center"/>
      </w:pPr>
      <w:r>
        <w:t>МЕРОПРИЯТИЙ ("ДОРОЖНАЯ КАРТА") "СОВЕРШЕНСТВОВАНИЕ</w:t>
      </w:r>
    </w:p>
    <w:p w:rsidR="00316CB8" w:rsidRDefault="00316CB8">
      <w:pPr>
        <w:pStyle w:val="ConsPlusNormal"/>
        <w:jc w:val="center"/>
      </w:pPr>
      <w:r>
        <w:t>ОЦЕНОЧНОЙ ДЕЯТЕЛЬНОСТИ"</w:t>
      </w:r>
    </w:p>
    <w:p w:rsidR="00316CB8" w:rsidRDefault="00316CB8">
      <w:pPr>
        <w:pStyle w:val="ConsPlusNormal"/>
        <w:jc w:val="center"/>
      </w:pPr>
      <w:r>
        <w:t>Список изменяющих документов</w:t>
      </w:r>
    </w:p>
    <w:p w:rsidR="00316CB8" w:rsidRDefault="00316CB8">
      <w:pPr>
        <w:pStyle w:val="ConsPlusNormal"/>
        <w:jc w:val="center"/>
      </w:pPr>
      <w:proofErr w:type="gramStart"/>
      <w:r>
        <w:t xml:space="preserve">(в ред. распоряжений Правительства РФ от 02.07.2014 </w:t>
      </w:r>
      <w:hyperlink r:id="rId11" w:history="1">
        <w:r>
          <w:rPr>
            <w:color w:val="0000FF"/>
          </w:rPr>
          <w:t>N 1211-р</w:t>
        </w:r>
      </w:hyperlink>
      <w:r>
        <w:t>,</w:t>
      </w:r>
      <w:proofErr w:type="gramEnd"/>
    </w:p>
    <w:p w:rsidR="00316CB8" w:rsidRDefault="00316CB8">
      <w:pPr>
        <w:pStyle w:val="ConsPlusNormal"/>
        <w:jc w:val="center"/>
      </w:pPr>
      <w:r>
        <w:t xml:space="preserve">от 20.08.2015 </w:t>
      </w:r>
      <w:hyperlink r:id="rId12" w:history="1">
        <w:r>
          <w:rPr>
            <w:color w:val="0000FF"/>
          </w:rPr>
          <w:t>N 1622-р</w:t>
        </w:r>
      </w:hyperlink>
      <w:r>
        <w:t xml:space="preserve">, от 29.12.2015 </w:t>
      </w:r>
      <w:hyperlink r:id="rId13" w:history="1">
        <w:r>
          <w:rPr>
            <w:color w:val="0000FF"/>
          </w:rPr>
          <w:t>N 2737-р</w:t>
        </w:r>
      </w:hyperlink>
      <w:r>
        <w:t>)</w:t>
      </w:r>
    </w:p>
    <w:p w:rsidR="00316CB8" w:rsidRDefault="00316CB8">
      <w:pPr>
        <w:pStyle w:val="ConsPlusNormal"/>
        <w:jc w:val="center"/>
      </w:pPr>
    </w:p>
    <w:p w:rsidR="00316CB8" w:rsidRDefault="00316CB8">
      <w:pPr>
        <w:pStyle w:val="ConsPlusNormal"/>
        <w:jc w:val="center"/>
      </w:pPr>
      <w:r>
        <w:t>I. Общее описание</w:t>
      </w:r>
    </w:p>
    <w:p w:rsidR="00316CB8" w:rsidRDefault="00316CB8">
      <w:pPr>
        <w:pStyle w:val="ConsPlusNormal"/>
        <w:jc w:val="center"/>
      </w:pPr>
    </w:p>
    <w:p w:rsidR="00316CB8" w:rsidRDefault="00316CB8">
      <w:pPr>
        <w:pStyle w:val="ConsPlusNormal"/>
        <w:ind w:firstLine="540"/>
        <w:jc w:val="both"/>
      </w:pPr>
      <w:r>
        <w:t>Реализация плана мероприятий ("дорожной карты") "Совершенствование оценочной деятельности" (далее - "дорожная карта") призвана обеспечить транспарентность и обоснованность определения итоговой величины стоимости объекта оценки, а также повысить качество предоставления оценочных услуг.</w:t>
      </w:r>
    </w:p>
    <w:p w:rsidR="00316CB8" w:rsidRDefault="00316CB8">
      <w:pPr>
        <w:pStyle w:val="ConsPlusNormal"/>
        <w:ind w:firstLine="540"/>
        <w:jc w:val="both"/>
      </w:pPr>
      <w:proofErr w:type="gramStart"/>
      <w:r>
        <w:t>Меры, предусмотренные "дорожной картой", направлены на совершенствование государственного регулирования оценочной деятельности, повышение эффективности саморегулирования в указанной сфере, в частности деятельности Национального совета по оценочной деятельности.</w:t>
      </w:r>
      <w:proofErr w:type="gramEnd"/>
      <w:r>
        <w:t xml:space="preserve"> </w:t>
      </w:r>
      <w:proofErr w:type="gramStart"/>
      <w:r>
        <w:t>Реализация указанных мер позволит повысить уровень профессионализма субъектов оценочной деятельности, ответственность за результаты определения рыночной, кадастровой или иной стоимости, транспарентность процедур определения кадастровой стоимости, требования к исполнителям работ по определению кадастровой стоимости, усовершенствовать механизм оспаривания кадастровой стоимости, восполнить методологическую базу оценочной деятельности, а также привести законодательство об оценочной деятельности в соответствие с положениями международных стандартов оценки.</w:t>
      </w:r>
      <w:proofErr w:type="gramEnd"/>
    </w:p>
    <w:p w:rsidR="00316CB8" w:rsidRDefault="00316CB8">
      <w:pPr>
        <w:pStyle w:val="ConsPlusNormal"/>
        <w:ind w:firstLine="540"/>
        <w:jc w:val="both"/>
      </w:pPr>
      <w:proofErr w:type="gramStart"/>
      <w:r>
        <w:t xml:space="preserve">Реализация "дорожной карты" будет осуществляться с 2013 по 2015 год во взаимосвязи с планом мероприятий ("дорожной картой") "Повышение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ним", утвержденным </w:t>
      </w:r>
      <w:hyperlink r:id="rId14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 декабря 2012 г. N 2236-р, что позволит обеспечить кумулятивный эффект от предусмотренных указанными документами</w:t>
      </w:r>
      <w:proofErr w:type="gramEnd"/>
      <w:r>
        <w:t xml:space="preserve"> мер.</w:t>
      </w:r>
    </w:p>
    <w:p w:rsidR="00316CB8" w:rsidRDefault="00316CB8">
      <w:pPr>
        <w:pStyle w:val="ConsPlusNormal"/>
        <w:ind w:firstLine="540"/>
        <w:jc w:val="both"/>
      </w:pPr>
      <w:r>
        <w:t>Цели "дорожной карты" достигаются за счет:</w:t>
      </w:r>
    </w:p>
    <w:p w:rsidR="00316CB8" w:rsidRDefault="00316CB8">
      <w:pPr>
        <w:pStyle w:val="ConsPlusNormal"/>
        <w:ind w:firstLine="540"/>
        <w:jc w:val="both"/>
      </w:pPr>
      <w:r>
        <w:t>разработки и внесения изменений в федеральные стандарты оценки с учетом международных стандартов оценки;</w:t>
      </w:r>
    </w:p>
    <w:p w:rsidR="00316CB8" w:rsidRDefault="00316CB8">
      <w:pPr>
        <w:pStyle w:val="ConsPlusNormal"/>
        <w:ind w:firstLine="540"/>
        <w:jc w:val="both"/>
      </w:pPr>
      <w:r>
        <w:t xml:space="preserve">развития баз данных, содержащих сведения о характеристиках объектов оценки, уточнения порядка применения имущественной ответственности юридических лиц, заключивших договор о проведении оценки, дисциплинарной ответственности оценщиков, а также установления дисциплинарной ответственности в отношении </w:t>
      </w:r>
      <w:r>
        <w:lastRenderedPageBreak/>
        <w:t>экспертов саморегулируемых организаций оценщиков;</w:t>
      </w:r>
    </w:p>
    <w:p w:rsidR="00316CB8" w:rsidRDefault="00316CB8">
      <w:pPr>
        <w:pStyle w:val="ConsPlusNormal"/>
        <w:ind w:firstLine="540"/>
        <w:jc w:val="both"/>
      </w:pPr>
      <w:r>
        <w:t>повышения требований к членству в саморегулируемых организациях оценщиков, в том числе в части квалификации и опыта работы в области оценочной деятельности;</w:t>
      </w:r>
    </w:p>
    <w:p w:rsidR="00316CB8" w:rsidRDefault="00316CB8">
      <w:pPr>
        <w:pStyle w:val="ConsPlusNormal"/>
        <w:ind w:firstLine="540"/>
        <w:jc w:val="both"/>
      </w:pPr>
      <w:r>
        <w:t>совершенствования процедур проведения государственной кадастровой оценки и порядка оспаривания результатов определения кадастровой стоимости, установления дополнительных требований к исполнителям работ по определению кадастровой стоимости;</w:t>
      </w:r>
    </w:p>
    <w:p w:rsidR="00316CB8" w:rsidRDefault="00316CB8">
      <w:pPr>
        <w:pStyle w:val="ConsPlusNormal"/>
        <w:ind w:firstLine="540"/>
        <w:jc w:val="both"/>
      </w:pPr>
      <w:r>
        <w:t>уточнения полномочий органов государственного и негосударственного регулирования оценочной деятельности, в том числе в части проведения единого квалификационного экзамена для претендентов на членство в экспертных советах саморегулируемых организаций оценщиков, а также порядка создания и функционирования Национального совета по оценочной деятельности.</w:t>
      </w:r>
    </w:p>
    <w:p w:rsidR="00316CB8" w:rsidRDefault="00316CB8">
      <w:pPr>
        <w:pStyle w:val="ConsPlusNormal"/>
        <w:ind w:firstLine="540"/>
        <w:jc w:val="both"/>
      </w:pPr>
      <w:r>
        <w:t>Для оценки эффективности реализации "дорожной карты" выбраны следующие контрольные показатели:</w:t>
      </w:r>
    </w:p>
    <w:p w:rsidR="00316CB8" w:rsidRDefault="00316CB8">
      <w:pPr>
        <w:sectPr w:rsidR="00316CB8">
          <w:pgSz w:w="11905" w:h="16838"/>
          <w:pgMar w:top="1134" w:right="850" w:bottom="1134" w:left="1701" w:header="0" w:footer="0" w:gutter="0"/>
          <w:cols w:space="720"/>
        </w:sectPr>
      </w:pPr>
    </w:p>
    <w:p w:rsidR="00316CB8" w:rsidRDefault="00316CB8">
      <w:pPr>
        <w:pStyle w:val="ConsPlusNormal"/>
        <w:ind w:firstLine="540"/>
        <w:jc w:val="both"/>
      </w:pPr>
    </w:p>
    <w:p w:rsidR="00316CB8" w:rsidRDefault="00316CB8">
      <w:pPr>
        <w:pStyle w:val="ConsPlusNormal"/>
        <w:jc w:val="right"/>
      </w:pPr>
      <w:r>
        <w:t>(процентов)</w:t>
      </w: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4914"/>
        <w:gridCol w:w="1469"/>
        <w:gridCol w:w="1325"/>
        <w:gridCol w:w="1325"/>
      </w:tblGrid>
      <w:tr w:rsidR="00316CB8"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B8" w:rsidRDefault="00316CB8">
            <w:pPr>
              <w:pStyle w:val="ConsPlusNormal"/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6CB8" w:rsidRDefault="00316CB8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316CB8" w:rsidRDefault="00316CB8">
            <w:pPr>
              <w:pStyle w:val="ConsPlusNormal"/>
              <w:jc w:val="center"/>
            </w:pPr>
            <w:r>
              <w:t>Текущее значение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316CB8" w:rsidRDefault="00316CB8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2015 год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1.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Степень удовлетворенности потребителей качеством услуг в области оценочной деятельности (достоверность результатов оценки, доступность для восприятия отчетов об оценке, соблюдение сроков и качество выполненных работ по оценке)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77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2.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Доля рассмотренных дисциплинарными комитетами саморегулируемых организаций оценщиков жалоб на их членов, в том числе доля жалоб, по </w:t>
            </w:r>
            <w:proofErr w:type="gramStart"/>
            <w:r>
              <w:t>результатам</w:t>
            </w:r>
            <w:proofErr w:type="gramEnd"/>
            <w:r>
              <w:t xml:space="preserve"> рассмотрения которых применено дисциплинарное взыскание в форме рекомендации об их исключении, в общем количестве поступивших жалоб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13 (2)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22 (3)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75 (16)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CB8" w:rsidRDefault="00316CB8">
            <w:pPr>
              <w:pStyle w:val="ConsPlusNormal"/>
            </w:pPr>
            <w:r>
              <w:t>3.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Минимальная доля договоров обязательного страхования ответственности оценщиков, по которым осуществлена страховая выплата, в общем количестве заключенных договоров обязательного страхования ответственности оценщиков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0,8</w:t>
            </w:r>
          </w:p>
        </w:tc>
      </w:tr>
    </w:tbl>
    <w:p w:rsidR="00316CB8" w:rsidRDefault="00316CB8">
      <w:pPr>
        <w:pStyle w:val="ConsPlusNormal"/>
        <w:ind w:firstLine="540"/>
        <w:jc w:val="both"/>
      </w:pPr>
    </w:p>
    <w:p w:rsidR="00316CB8" w:rsidRDefault="00316CB8">
      <w:pPr>
        <w:pStyle w:val="ConsPlusNormal"/>
        <w:jc w:val="center"/>
      </w:pPr>
      <w:r>
        <w:t>II. План мероприятий</w:t>
      </w:r>
    </w:p>
    <w:p w:rsidR="00316CB8" w:rsidRDefault="00316CB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3173"/>
        <w:gridCol w:w="2212"/>
        <w:gridCol w:w="2688"/>
        <w:gridCol w:w="1399"/>
        <w:gridCol w:w="3063"/>
      </w:tblGrid>
      <w:tr w:rsidR="00316CB8">
        <w:tc>
          <w:tcPr>
            <w:tcW w:w="3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6CB8" w:rsidRDefault="00316CB8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316CB8" w:rsidRDefault="00316CB8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316CB8" w:rsidRDefault="00316CB8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16CB8" w:rsidRDefault="00316CB8">
            <w:pPr>
              <w:pStyle w:val="ConsPlusNormal"/>
              <w:jc w:val="center"/>
            </w:pPr>
            <w:r>
              <w:t xml:space="preserve">Срок </w:t>
            </w:r>
            <w:hyperlink w:anchor="P3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Исполнитель (соисполнители)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lastRenderedPageBreak/>
              <w:t>I. Совершенствование методологии оценки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1.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Разработка концепции формирования системы стандартов в сфере оценочной деятельности с учетом международных стандартов оценки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определение основных направлений развития системы стандартов в сфере оценочной деятельности в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декабрь 2013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 с участием некоммерческих организаций, в том числе объединяющих субъектов профессиональной и (или) предпринимательской деятельности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2.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Уточнение законодательства об оценочной деятельности, в том числе в части видов стоимости, терминологии, требований к отчету об оценке с учетом положений международных стандартов оценки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создание условий для обеспечения гармонизации федеральных стандартов оценки с международными стандартами оценки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июль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 с участием некоммерческих организаций, в том числе объединяющих субъектов профессиональной и (или) предпринимательской деятельности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3.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Внесение изменений в утвержденные федеральные стандарты оценки в целях обеспечения их соответствия положениям международных стандартов оценки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ведомственный акт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обеспечение гармонизации федеральных стандартов оценки с международными стандартами оценки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октябрь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 с участием некоммерческих организаций, в том числе объединяющих субъектов профессиональной и (или) предпринимательской деятельности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4.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Внесение изменений в Федеральный </w:t>
            </w:r>
            <w:hyperlink r:id="rId1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оценки "Требования к отчету об оценке (ФСО N 3)", утвержденный приказом Минэкономразвития России от 20 июля 2007 г. N 254, в </w:t>
            </w:r>
            <w:r>
              <w:lastRenderedPageBreak/>
              <w:t>части установления требований к электронной форме отчета об оценке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>ведомственный акт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упрощение и ускорение представления отчета об оценке путем обеспечения возможности его составления в электронной форме по </w:t>
            </w:r>
            <w:r>
              <w:lastRenderedPageBreak/>
              <w:t>единым требованиям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lastRenderedPageBreak/>
              <w:t>октябрь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 с участием некоммерческих организаций, в том числе объединяющих субъектов профессиональной и (или) предпринимательской деятельности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Утверждение новых федеральных стандартов оценки, разработанных в соответствии с концепцией формирования системы стандартов в сфере оценочной деятельности с учетом международных стандартов оценки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ведомственный акт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повышение достоверности и сопоставимости результатов оценки объектов оценки, в том числе для целей залога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март 2015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 с участием некоммерческих организаций, в том числе объединяющих субъектов профессиональной и (или) предпринимательской деятельности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II. Повышение ответственности за результаты оценки и проведение экспертизы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6.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Наделение саморегулируемых организаций оценщиков функцией по </w:t>
            </w:r>
            <w:proofErr w:type="gramStart"/>
            <w:r>
              <w:t>контролю за</w:t>
            </w:r>
            <w:proofErr w:type="gramEnd"/>
            <w:r>
              <w:t xml:space="preserve"> деятельностью экспертов, установление права обжалования решений дисциплинарного комитета саморегулируемых организаций оценщиков всеми заинтересованными лицами, а также уточнение порядка рассмотрения жалоб на членов саморегулируемых организаций оценщиков и перечня раскрываемой информации о реализации </w:t>
            </w:r>
            <w:r>
              <w:lastRenderedPageBreak/>
              <w:t>функции саморегулируемых организаций оценщиков по контролю за деятельностью своих членов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установление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экспертов саморегулируемых организаций оценщиков, обеспечение транспарентности для потребителей оценочных услуг процедур и результатов рассмотрения жалоб на членов саморегулируемых организаций оценщиков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июль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России,</w:t>
            </w:r>
          </w:p>
          <w:p w:rsidR="00316CB8" w:rsidRDefault="00316CB8">
            <w:pPr>
              <w:pStyle w:val="ConsPlusNormal"/>
            </w:pPr>
            <w:r>
              <w:t>Росреестр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proofErr w:type="gramStart"/>
            <w:r>
              <w:t>Введение института приостановления членства в саморегулируемых организациях оценщиков, в том числе в обязательном порядке в случае принятия дисциплинарным комитетом решения о применении в отношении члена саморегулируемой организации оценщиков дисциплинарного взыскания в виде рекомендации об исключении из членов саморегулируемой организации оценщиков, а также в случае непредставления в саморегулируемую организацию оценщиков информации о продлении срока действия договора обязательного страхования ответственности оценщика</w:t>
            </w:r>
            <w:proofErr w:type="gramEnd"/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усиление контроля саморегулируемых организаций оценщиков за деятельностью своих членов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июль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России,</w:t>
            </w:r>
          </w:p>
          <w:p w:rsidR="00316CB8" w:rsidRDefault="00316CB8">
            <w:pPr>
              <w:pStyle w:val="ConsPlusNormal"/>
            </w:pPr>
            <w:r>
              <w:t>Росреестр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8.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Установление </w:t>
            </w:r>
            <w:proofErr w:type="gramStart"/>
            <w:r>
              <w:t>права обжалования результатов экспертизы отчета</w:t>
            </w:r>
            <w:proofErr w:type="gramEnd"/>
            <w:r>
              <w:t xml:space="preserve"> об оценке, </w:t>
            </w:r>
            <w:r>
              <w:lastRenderedPageBreak/>
              <w:t xml:space="preserve">проводимой в соответствии с Федеральным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"Об оценочной деятельности в Российской Федерации", всеми заинтересованными лицами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усиление ответственности за проведение экспертизы </w:t>
            </w:r>
            <w:r>
              <w:lastRenderedPageBreak/>
              <w:t>отчета об оценке путем расширения возможности потребителей оценочных услуг обжаловать результаты экспертизы отчета об оценке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lastRenderedPageBreak/>
              <w:t>июль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России,</w:t>
            </w:r>
          </w:p>
          <w:p w:rsidR="00316CB8" w:rsidRDefault="00316CB8">
            <w:pPr>
              <w:pStyle w:val="ConsPlusNormal"/>
            </w:pPr>
            <w:r>
              <w:t>Росреестр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Установление обязанности по опубликованию отчетов об оценке в случае вовлечения в сделку объектов, принадлежащих полностью или частично Российской Федерации, субъектам Российской Федерации либо муниципальным образованиям, при условии соблюдения требований о сохранении коммерческой или государственной тайны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обеспечение информационной открытости процедуры оценки стоимости объектов, находящихся в государственной или муниципальной собственности, путем размещения сведений о результатах оценки стоимости указанных объектов, а также отчетов об оценке их стоимости в информационно-телекоммуникационной сети "Интернет"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июнь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России,</w:t>
            </w:r>
          </w:p>
          <w:p w:rsidR="00316CB8" w:rsidRDefault="00316CB8">
            <w:pPr>
              <w:pStyle w:val="ConsPlusNormal"/>
            </w:pPr>
            <w:r>
              <w:t>Росимущество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02.07.2014 N 1211-р)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10.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Уточнение имущественной ответственности юридического лица, с которым оценщик заключил </w:t>
            </w:r>
            <w:r>
              <w:lastRenderedPageBreak/>
              <w:t>трудовой договор, и оценщика, механизмов обеспечения соответствующей ответственности (обязательное страхование) и уточнение требований к таким лицам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усиление ответственности юридического лица, с которым оценщик </w:t>
            </w:r>
            <w:r>
              <w:lastRenderedPageBreak/>
              <w:t>заключил трудовой договор, в том числе путем введения обязательного страхования ответственности и уточнения требований к юридическим лицам, заключившим договор на проведение оценки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lastRenderedPageBreak/>
              <w:t>июнь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02.07.2014 N 1211-р)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11.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Обобщение практики осуществления оценочной деятельности без заключения трудового договора между оценщиком и юридическим лицом и подготовка предложений по ее совершенствованию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определение условия осуществления оценочной деятельности без заключения трудового договора между оценщиком и юридическим лицом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декабрь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России,</w:t>
            </w:r>
          </w:p>
          <w:p w:rsidR="00316CB8" w:rsidRDefault="00316CB8">
            <w:pPr>
              <w:pStyle w:val="ConsPlusNormal"/>
            </w:pPr>
            <w:r>
              <w:t>Минфин России,</w:t>
            </w:r>
          </w:p>
          <w:p w:rsidR="00316CB8" w:rsidRDefault="00316CB8">
            <w:pPr>
              <w:pStyle w:val="ConsPlusNormal"/>
            </w:pPr>
            <w:r>
              <w:t>Росреестр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12.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Установление в законодательстве об оценочной деятельности минимального перечня оснований для исключения из членов саморегулируемых организаций оценщиков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унификация подходов к исключению из членов саморегулируемых организаций оценщиков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июль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13.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Анализ международного опыта и российской практики проведения экспертизы отчетов об </w:t>
            </w:r>
            <w:r>
              <w:lastRenderedPageBreak/>
              <w:t>оценке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предложения по совершенствованию института экспертизы отчетов об оценке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июль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Минэкономразвития России с участием некоммерческих организаций, в том числе объединяющих субъектов </w:t>
            </w:r>
            <w:r>
              <w:lastRenderedPageBreak/>
              <w:t>профессиональной и (или) предпринимательской деятельности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Уточнение правового статуса и правовых последствий экспертизы отчетов об оценке, области ее применения, видов экспертиз, а также проработка </w:t>
            </w:r>
            <w:proofErr w:type="gramStart"/>
            <w:r>
              <w:t>возможности введения института рецензирования отчетов</w:t>
            </w:r>
            <w:proofErr w:type="gramEnd"/>
            <w:r>
              <w:t xml:space="preserve"> об оценке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федеральный закон, ведомственный акт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повышение ответственности оценщиков за качество оценочных работ, сокращение </w:t>
            </w:r>
            <w:proofErr w:type="gramStart"/>
            <w:r>
              <w:t>числа случаев проведения экспертиз отчетов</w:t>
            </w:r>
            <w:proofErr w:type="gramEnd"/>
            <w:r>
              <w:t xml:space="preserve"> об оценке в соответствии с Федеральным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"Об оценочной деятельности в Российской Федерации"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август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02.07.2014 N 1211-р)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15.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Разработка механизма формирования реестра "недобросовестных" оценщиков и исполнителей работ по оценке объектов оценки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подготовка предложений по ограничению недобросовестной деятельности оценщиков и исполнителей работ по оценке объектов оценки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июнь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России,</w:t>
            </w:r>
          </w:p>
          <w:p w:rsidR="00316CB8" w:rsidRDefault="00316CB8">
            <w:pPr>
              <w:pStyle w:val="ConsPlusNormal"/>
            </w:pPr>
            <w:r>
              <w:t>Росреестр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16.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Уточнение порядка ведения реестра членов саморегулируемых организаций оценщиков, в том числе состава сведений, включаемых в реестр, в </w:t>
            </w:r>
            <w:r>
              <w:lastRenderedPageBreak/>
              <w:t>отношении каждого члена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>ведомственный акт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повышение информационной открытости саморегулируемых организаций оценщиков, в том числе в части </w:t>
            </w:r>
            <w:r>
              <w:lastRenderedPageBreak/>
              <w:t xml:space="preserve">сведений о подготовленных оценщиками </w:t>
            </w:r>
            <w:proofErr w:type="gramStart"/>
            <w:r>
              <w:t>отчетах</w:t>
            </w:r>
            <w:proofErr w:type="gramEnd"/>
            <w:r>
              <w:t xml:space="preserve"> об оценке и судебных решениях, касающихся таких отчетов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lastRenderedPageBreak/>
              <w:t>июль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России,</w:t>
            </w:r>
          </w:p>
          <w:p w:rsidR="00316CB8" w:rsidRDefault="00316CB8">
            <w:pPr>
              <w:pStyle w:val="ConsPlusNormal"/>
            </w:pPr>
            <w:r>
              <w:t>Росреестр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lastRenderedPageBreak/>
              <w:t>III. Повышение квалификации оценщиков и экспертов саморегулируемых организаций оценщиков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17.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Изменение порядка проведения единого квалификационного экзамена для претендентов на членство в экспертных советах саморегулируемых организаций оценщиков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обеспечение проведения единого квалификационного экзамена для претендентов на членство в экспертных советах саморегулируемых организаций оценщиков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октябрь 2013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18.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Разработка порядка проведения и сдачи единого квалификационного экзамена претендентами на членство в экспертных советах саморегулируемых организаций оценщиков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установление сроков и процедур проведения и сдачи единого квалификационного экзамена в образовательных организациях высшего образования претендентами на членство в экспертных советах саморегулируемых организаций оценщиков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октябрь 2013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России,</w:t>
            </w:r>
          </w:p>
          <w:p w:rsidR="00316CB8" w:rsidRDefault="00316CB8">
            <w:pPr>
              <w:pStyle w:val="ConsPlusNormal"/>
            </w:pPr>
            <w:r>
              <w:t>Росреестр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19.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Формирование </w:t>
            </w:r>
            <w:r>
              <w:lastRenderedPageBreak/>
              <w:t>экзаменационных вопросов для проведения единого квалификационного экзамена у претендентов на членство в экспертных советах саморегулируемых организаций оценщиков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 xml:space="preserve">доклад в </w:t>
            </w:r>
            <w:r>
              <w:lastRenderedPageBreak/>
              <w:t>Правительство Российской Федерации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 xml:space="preserve">наличие перечня </w:t>
            </w:r>
            <w:r>
              <w:lastRenderedPageBreak/>
              <w:t>экзаменационных вопросов для проведения единого квалификационного экзамена у претендентов на членство в экспертных советах саморегулируемых организаций оценщиков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lastRenderedPageBreak/>
              <w:t xml:space="preserve">октябрь </w:t>
            </w:r>
            <w:r>
              <w:lastRenderedPageBreak/>
              <w:t>2013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>Минэкономразвития России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Изменение порядка и условий аккредитации высших учебных заведений, осуществляющих проведение единого квалификационного экзамена у претендентов на членство в экспертных советах саморегулируемых организаций оценщиков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формирование порядка и условий аккредитации образовательных организаций высшего образования, осуществляющих проведение единого квалификационного экзамена у претендентов на членство в экспертных советах саморегулируемых организаций оценщиков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октябрь 2013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России,</w:t>
            </w:r>
          </w:p>
          <w:p w:rsidR="00316CB8" w:rsidRDefault="00316CB8">
            <w:pPr>
              <w:pStyle w:val="ConsPlusNormal"/>
            </w:pPr>
            <w:r>
              <w:t>Росреестр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21.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Изменение типа, формы квалификационного аттестата, порядка выдачи и аннулирования квалификационных аттестатов, а также порядка ведения реестра квалификационных аттестатов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наличие формы документа, подтверждающего сдачу единого квалификационного экзамена, формирование порядка выдачи и аннулирования квалификационных </w:t>
            </w:r>
            <w:r>
              <w:lastRenderedPageBreak/>
              <w:t>аттестатов, а также порядка ведения реестра квалификационных аттестатов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lastRenderedPageBreak/>
              <w:t>октябрь 2013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России,</w:t>
            </w:r>
          </w:p>
          <w:p w:rsidR="00316CB8" w:rsidRDefault="00316CB8">
            <w:pPr>
              <w:pStyle w:val="ConsPlusNormal"/>
            </w:pPr>
            <w:r>
              <w:t>Росреестр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Повышение требований к уровню образования, квалификации и опыту работы в области оценочной деятельности (введение института стажировки) для получения статуса оценщика. Проработка вопроса о введении единого квалификационного экзамена для получения статуса оценщика, в том числе о целесообразности его проведения в соответствии со специализациями в области оценочной деятельности, а также вопроса развития системы повышения квалификации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федеральный закон, доклад в Правительство Российской Федерации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усиление требований к уровню образования и введение института стажировки лиц, претендующих на получение статуса оценщика, повышение уровня компетентности оценщиков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 xml:space="preserve">в течение 3 месяцев после выполнения положения, предусмотренного </w:t>
            </w:r>
            <w:hyperlink w:anchor="P239" w:history="1">
              <w:r>
                <w:rPr>
                  <w:color w:val="0000FF"/>
                </w:rPr>
                <w:t>позицией 24</w:t>
              </w:r>
            </w:hyperlink>
            <w:r>
              <w:t xml:space="preserve"> настоящего раздела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both"/>
            </w:pPr>
            <w:r>
              <w:t xml:space="preserve">(п. 22 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20.08.2015 N 1622-р)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23.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Внесение изменений в Федеральный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оценки "Требования к уровню знаний эксперта саморегулируемой организации оценщиков </w:t>
            </w:r>
            <w:r>
              <w:lastRenderedPageBreak/>
              <w:t>(ФСО N 6)", утвержденный приказом Минэкономразвития России от 7 ноября 2011 г. N 628, в части установления требований к уровню знаний оценщика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>ведомственный акт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установление требований к уровню знаний оценщика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в течение 3 месяцев после выполнения положения, предусмотр</w:t>
            </w:r>
            <w:r>
              <w:lastRenderedPageBreak/>
              <w:t xml:space="preserve">енного </w:t>
            </w:r>
            <w:hyperlink w:anchor="P239" w:history="1">
              <w:r>
                <w:rPr>
                  <w:color w:val="0000FF"/>
                </w:rPr>
                <w:t>позицией 24</w:t>
              </w:r>
            </w:hyperlink>
            <w:r>
              <w:t xml:space="preserve"> настоящего раздела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 xml:space="preserve">Минэкономразвития России с участием некоммерческих организаций, в том числе объединяющих субъектов профессиональной и (или) предпринимательской </w:t>
            </w:r>
            <w:r>
              <w:lastRenderedPageBreak/>
              <w:t>деятельности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20.08.2015 N 1622-р)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bookmarkStart w:id="1" w:name="P239"/>
            <w:bookmarkEnd w:id="1"/>
            <w:r>
              <w:t>24.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Организация разработки и утверждения профессионального стандарта в области оценочной деятельности с учетом специализаций оценщиков и требований к профессиональной этике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ведомственный акт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установление квалификационного уровня, позволяющего оценщику выполнять свои профессиональные обязанности в соответствии с предъявляемыми требованиями в рамках специализаций, а также этических норм профессионального поведения оценщиков при осуществлении оценочной деятельности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октябрь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Минтруд России,</w:t>
            </w:r>
          </w:p>
          <w:p w:rsidR="00316CB8" w:rsidRDefault="00316CB8">
            <w:pPr>
              <w:pStyle w:val="ConsPlusNormal"/>
            </w:pPr>
            <w:r>
              <w:t>Минэкономразвития России с участием некоммерческих организаций, в том числе объединяющих субъектов профессиональной и (или) предпринимательской деятельности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25.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Подготовка предложений по применению профессионального стандарта в области оценочной деятельности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разработка предложений по адаптации профессионального стандарта в области оценочной деятельности для целей подтверждения </w:t>
            </w:r>
            <w:r>
              <w:lastRenderedPageBreak/>
              <w:t>квалификации оценщиков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lastRenderedPageBreak/>
              <w:t>декабрь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 с участием некоммерческих организаций, в том числе объединяющих субъектов профессиональной и (или) предпринимательской деятельности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lastRenderedPageBreak/>
              <w:t>IV. Совершенствование процедур государственной кадастровой оценки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26.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Уточнение порядка работы комиссии по рассмотрению споров о результатах определения кадастровой стоимости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повышение качества работы комиссии по рассмотрению споров о результатах определения кадастровой стоимости, в том числе в части обеспечения транспарентности ее работы, возможности привлечения третьих лиц (специалистов, экспертов) для участия в заседаниях, уточнения порядка принятия комиссией решений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октябрь 2013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России,</w:t>
            </w:r>
          </w:p>
          <w:p w:rsidR="00316CB8" w:rsidRDefault="00316CB8">
            <w:pPr>
              <w:pStyle w:val="ConsPlusNormal"/>
            </w:pPr>
            <w:r>
              <w:t>Росреестр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27.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Установление состава сведений, имеющихся в распоряжении органов государственной власти и местного самоуправления, которые оценщик обязан использовать при определении кадастровой стоимости либо обосновать отказ от их использования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ведомственный акт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повышение полноты исходной информации, используемой для определения кадастровой стоимости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август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России,</w:t>
            </w:r>
          </w:p>
          <w:p w:rsidR="00316CB8" w:rsidRDefault="00316CB8">
            <w:pPr>
              <w:pStyle w:val="ConsPlusNormal"/>
            </w:pPr>
            <w:r>
              <w:t>Росреестр с участием некоммерческих организаций, в том числе объединяющих субъектов профессиональной и (или) предпринимательской деятельности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28.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Установление порядка </w:t>
            </w:r>
            <w:r>
              <w:lastRenderedPageBreak/>
              <w:t>формирования и представления перечня объектов недвижимости, подлежащих государственной кадастровой оценке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>ведомственный акт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установление </w:t>
            </w:r>
            <w:r>
              <w:lastRenderedPageBreak/>
              <w:t>требований к порядку формирования и представления перечня объектов недвижимости, подлежащих государственной кадастровой оценке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lastRenderedPageBreak/>
              <w:t xml:space="preserve">декабрь </w:t>
            </w:r>
            <w:r>
              <w:lastRenderedPageBreak/>
              <w:t>2013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 xml:space="preserve">Минэкономразвития </w:t>
            </w:r>
            <w:r>
              <w:lastRenderedPageBreak/>
              <w:t>России,</w:t>
            </w:r>
          </w:p>
          <w:p w:rsidR="00316CB8" w:rsidRDefault="00316CB8">
            <w:pPr>
              <w:pStyle w:val="ConsPlusNormal"/>
            </w:pPr>
            <w:r>
              <w:t>Росреестр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>29.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Установление обязательного досудебного </w:t>
            </w:r>
            <w:proofErr w:type="gramStart"/>
            <w:r>
              <w:t>порядка оспаривания результатов определения кадастровой стоимости</w:t>
            </w:r>
            <w:proofErr w:type="gramEnd"/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повышение </w:t>
            </w:r>
            <w:proofErr w:type="gramStart"/>
            <w:r>
              <w:t>качества системы оспаривания результатов определения кадастровой стоимости</w:t>
            </w:r>
            <w:proofErr w:type="gramEnd"/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декабрь 2013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России,</w:t>
            </w:r>
          </w:p>
          <w:p w:rsidR="00316CB8" w:rsidRDefault="00316CB8">
            <w:pPr>
              <w:pStyle w:val="ConsPlusNormal"/>
            </w:pPr>
            <w:r>
              <w:t>Росреестр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30.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Установление дополнительных требований к исполнителю работ по определению кадастровой стоимости в рамках контрактной системы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установление требований к репутации и опыту исполнителя, а также квалификации оценщиков, осуществляющих работу по определению кадастровой стоимости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декабрь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России,</w:t>
            </w:r>
          </w:p>
          <w:p w:rsidR="00316CB8" w:rsidRDefault="00316CB8">
            <w:pPr>
              <w:pStyle w:val="ConsPlusNormal"/>
            </w:pPr>
            <w:r>
              <w:t>Росреестр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31.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Уточнение требований к решению о проведении государственной кадастровой оценки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обеспечение заинтересованных лиц информацией об объектах недвижимости, в отношении которых принято решение о проведении государственной кадастровой оценки, путем опубликования </w:t>
            </w:r>
            <w:r>
              <w:lastRenderedPageBreak/>
              <w:t xml:space="preserve">указанного </w:t>
            </w:r>
            <w:proofErr w:type="gramStart"/>
            <w:r>
              <w:t>решения</w:t>
            </w:r>
            <w:proofErr w:type="gramEnd"/>
            <w:r>
              <w:t xml:space="preserve"> принявшим его органом в информационно-телекоммуникационной сети "Интернет"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lastRenderedPageBreak/>
              <w:t>декабрь 2013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России,</w:t>
            </w:r>
          </w:p>
          <w:p w:rsidR="00316CB8" w:rsidRDefault="00316CB8">
            <w:pPr>
              <w:pStyle w:val="ConsPlusNormal"/>
            </w:pPr>
            <w:r>
              <w:t>Росреестр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Установление требования о размещении в фонде данных государственной кадастровой оценки отчетов об определении кадастровой стоимости до проведения их экспертизы в саморегулируемых организациях оценщиков для ознакомления всех заинтересованных лиц и представления замечаний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обеспечение доступности информации о результатах государственной кадастровой оценки для правообладателей объектов недвижимости и иных участников рынка недвижимости, в том числе в целях уточнения характеристик объектов недвижимости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декабрь 2013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России,</w:t>
            </w:r>
          </w:p>
          <w:p w:rsidR="00316CB8" w:rsidRDefault="00316CB8">
            <w:pPr>
              <w:pStyle w:val="ConsPlusNormal"/>
            </w:pPr>
            <w:r>
              <w:t>Росреестр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33.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Увеличение </w:t>
            </w:r>
            <w:proofErr w:type="gramStart"/>
            <w:r>
              <w:t>срока оспаривания результатов определения кадастровой стоимости</w:t>
            </w:r>
            <w:proofErr w:type="gramEnd"/>
            <w:r>
              <w:t xml:space="preserve"> в комиссии по рассмотрению споров о результатах определения кадастровой стоимости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обеспечение реализации права на досудебное оспаривание результатов определения кадастровой стоимости лицами в случае, если результаты определения кадастровой стоимости затрагивают их права и обязанности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декабрь 2013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России,</w:t>
            </w:r>
          </w:p>
          <w:p w:rsidR="00316CB8" w:rsidRDefault="00316CB8">
            <w:pPr>
              <w:pStyle w:val="ConsPlusNormal"/>
            </w:pPr>
            <w:r>
              <w:t>Росреестр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>34.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Мониторинг реализации органами исполнительной власти либо органами местного самоуправления полномочий по проведению государственной кадастровой оценки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подведение итогов мониторинга реализации органами исполнительной власти либо органами местного самоуправления полномочий по проведению государственной кадастровой оценки, в том числе обоснование целесообразности (нецелесообразности) делегирования указанных полномочий на уровень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декабрь 2013 г., декабрь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Росреестр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35.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Разработка предложений по регламентации процедур государственной кадастровой оценки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формирование подходов к порядку разработки и содержанию актов (стандартов), регулирующих процедуры определения кадастровой стоимости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октябрь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России,</w:t>
            </w:r>
          </w:p>
          <w:p w:rsidR="00316CB8" w:rsidRDefault="00316CB8">
            <w:pPr>
              <w:pStyle w:val="ConsPlusNormal"/>
            </w:pPr>
            <w:r>
              <w:t>Росреестр с участием некоммерческих организаций, в том числе объединяющих субъектов профессиональной и (или) предпринимательской деятельности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36.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Анализ возможности и целесообразности отмены требования об обязательной экспертизе отчетов об оценке в рамках государственной </w:t>
            </w:r>
            <w:r>
              <w:lastRenderedPageBreak/>
              <w:t>кадастровой оценки, а также при оспаривании результатов определения кадастровой стоимости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определение целесообразности и финансовой обоснованности требования о </w:t>
            </w:r>
            <w:r>
              <w:lastRenderedPageBreak/>
              <w:t>проведении обязательной экспертизы отчетов об оценке в рамках государственной кадастровой оценки, а также при оспаривании результатов определения кадастровой стоимости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lastRenderedPageBreak/>
              <w:t>декабрь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России,</w:t>
            </w:r>
          </w:p>
          <w:p w:rsidR="00316CB8" w:rsidRDefault="00316CB8">
            <w:pPr>
              <w:pStyle w:val="ConsPlusNormal"/>
            </w:pPr>
            <w:r>
              <w:t>Росреестр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>37.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Развитие фондов данных, баз данных, содержащих сведения о характеристиках объектов недвижимости, о количестве и цене сделок с недвижимым имуществом, с обеспечением открытого доступа к ним всех заинтересованных лиц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организационное мероприятие, доклад в Правительство Российской Федерации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повышение качества исходной информации, используемой при определении кадастровой, рыночной или иной стоимости объектов оценки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декабрь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Росреестр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38.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Утверждение типового контракта, типовых условий контракта на выполнение работ по определению кадастровой стоимости в рамках контрактной системы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постановление Правительства Российской Федерации, ведомственный акт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унификация требований к контрактам на выполнение работ по определению кадастровой стоимости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декабрь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России,</w:t>
            </w:r>
          </w:p>
          <w:p w:rsidR="00316CB8" w:rsidRDefault="00316CB8">
            <w:pPr>
              <w:pStyle w:val="ConsPlusNormal"/>
            </w:pPr>
            <w:r>
              <w:t>Росреестр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V. Совершенствование механизмов организации негосударственного регулирования оценочной деятельности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39.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Уточнение функций, требований к составу, структуре органов управления и порядку </w:t>
            </w:r>
            <w:r>
              <w:lastRenderedPageBreak/>
              <w:t>принятия решений Национальным советом по оценочной деятельности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создание условий для эффективного взаимодействия представителей </w:t>
            </w:r>
            <w:r>
              <w:lastRenderedPageBreak/>
              <w:t>профессионального сообщества оценщиков, потребителей оценочных услуг и органов государственной власти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lastRenderedPageBreak/>
              <w:t>июнь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02.07.2014 N 1211-р)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40.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Установление права федерального органа, осуществляющего функции по нормативно-правовому регулированию оценочной деятельности, на внесение изменений в федеральные стандарты оценки с учетом обсуждения с представителями профессионального сообщества оценщиков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создание условий для оперативной актуализации федеральных стандартов оценки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июль 2014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41.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 xml:space="preserve">Анализ системы регулирования оценочной деятельности и правоприменительной практики, в том числе на предмет соответствия лучшей мировой практике организации профессионального сообщества, и разработка предложений по </w:t>
            </w:r>
            <w:r>
              <w:lastRenderedPageBreak/>
              <w:t>дальнейшему развитию регулирования оценочной деятельности (в том числе в части введения добровольного членства в соморегулируемой организации оценщиков, лицензирования оценочной деятельности)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определение направлений развития системы государственного и негосударственного регулирования оценочной деятельности в Российской Федерации с учетом международной практики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май 2015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 с участием некоммерческих организаций, в том числе объединяющих субъектов профессиональной и (или) предпринимательской деятельности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lastRenderedPageBreak/>
              <w:t>VI. Механизм реализации "дорожной карты"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42.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Оценка результатов мероприятий "дорожной карты"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отчет о реализации мероприятий "дорожной карты" за 2013 - 2015 годы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сентябрь 2015 г.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России,</w:t>
            </w:r>
          </w:p>
          <w:p w:rsidR="00316CB8" w:rsidRDefault="00316CB8">
            <w:pPr>
              <w:pStyle w:val="ConsPlusNormal"/>
            </w:pPr>
            <w:r>
              <w:t>автономная некоммерческая организация "Агентство стратегических инициатив по продвижению новых проектов"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</w:pPr>
            <w:r>
              <w:t>43.</w:t>
            </w:r>
          </w:p>
        </w:tc>
        <w:tc>
          <w:tcPr>
            <w:tcW w:w="125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CB8" w:rsidRDefault="00316CB8">
            <w:pPr>
              <w:pStyle w:val="ConsPlusNormal"/>
              <w:jc w:val="both"/>
            </w:pPr>
            <w:r>
              <w:t xml:space="preserve">Исключен. - </w:t>
            </w:r>
            <w:hyperlink r:id="rId2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29.12.2015 N 2737-р</w:t>
            </w:r>
          </w:p>
        </w:tc>
      </w:tr>
      <w:tr w:rsidR="00316C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CB8" w:rsidRDefault="00316CB8">
            <w:pPr>
              <w:pStyle w:val="ConsPlusNormal"/>
            </w:pPr>
            <w:r>
              <w:t>44.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CB8" w:rsidRDefault="00316CB8">
            <w:pPr>
              <w:pStyle w:val="ConsPlusNormal"/>
            </w:pPr>
            <w:r>
              <w:t>Внесение изменений в законодательство Российской Федерации в связи с необходимостью наделения Минэкономразвития России полномочиями по реализации мероприятий "дорожной карты"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CB8" w:rsidRDefault="00316CB8">
            <w:pPr>
              <w:pStyle w:val="ConsPlusNormal"/>
            </w:pPr>
            <w:r>
              <w:t>федеральный закон и (или) акты Правительства Российской Федерации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CB8" w:rsidRDefault="00316CB8">
            <w:pPr>
              <w:pStyle w:val="ConsPlusNormal"/>
            </w:pPr>
            <w:r>
              <w:t>наличие правовых оснований для реализации мероприятий "дорожной карты"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CB8" w:rsidRDefault="00316CB8">
            <w:pPr>
              <w:pStyle w:val="ConsPlusNormal"/>
              <w:jc w:val="center"/>
            </w:pPr>
            <w:r>
              <w:t>август 2014 г.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CB8" w:rsidRDefault="00316CB8">
            <w:pPr>
              <w:pStyle w:val="ConsPlusNormal"/>
            </w:pPr>
            <w:r>
              <w:t>Минэкономразвития России</w:t>
            </w:r>
          </w:p>
        </w:tc>
      </w:tr>
    </w:tbl>
    <w:p w:rsidR="00316CB8" w:rsidRDefault="00316CB8">
      <w:pPr>
        <w:pStyle w:val="ConsPlusNormal"/>
      </w:pPr>
    </w:p>
    <w:p w:rsidR="00316CB8" w:rsidRDefault="00316CB8">
      <w:pPr>
        <w:pStyle w:val="ConsPlusNormal"/>
        <w:ind w:firstLine="540"/>
        <w:jc w:val="both"/>
      </w:pPr>
      <w:r>
        <w:t>--------------------------------</w:t>
      </w:r>
    </w:p>
    <w:p w:rsidR="00316CB8" w:rsidRDefault="00316CB8">
      <w:pPr>
        <w:pStyle w:val="ConsPlusNormal"/>
        <w:ind w:firstLine="540"/>
        <w:jc w:val="both"/>
      </w:pPr>
      <w:bookmarkStart w:id="2" w:name="P380"/>
      <w:bookmarkEnd w:id="2"/>
      <w:r>
        <w:t xml:space="preserve">&lt;*&gt; Для мероприятий, предусматривающих разработку проектов федеральных законов, срок реализации считать сроком внесения </w:t>
      </w:r>
      <w:r>
        <w:lastRenderedPageBreak/>
        <w:t>проекта федерального закона в Правительство Российской Федерации.</w:t>
      </w:r>
    </w:p>
    <w:p w:rsidR="00316CB8" w:rsidRDefault="00316CB8">
      <w:pPr>
        <w:pStyle w:val="ConsPlusNormal"/>
        <w:jc w:val="both"/>
      </w:pPr>
      <w:r>
        <w:t xml:space="preserve">(сноска введена </w:t>
      </w:r>
      <w:hyperlink r:id="rId26" w:history="1">
        <w:r>
          <w:rPr>
            <w:color w:val="0000FF"/>
          </w:rPr>
          <w:t>распоряжением</w:t>
        </w:r>
      </w:hyperlink>
      <w:r>
        <w:t xml:space="preserve"> Правительства РФ от 02.07.2014 N 1211-р)</w:t>
      </w:r>
    </w:p>
    <w:p w:rsidR="00316CB8" w:rsidRDefault="00316CB8">
      <w:pPr>
        <w:pStyle w:val="ConsPlusNormal"/>
      </w:pPr>
    </w:p>
    <w:p w:rsidR="00316CB8" w:rsidRDefault="00316CB8">
      <w:pPr>
        <w:pStyle w:val="ConsPlusNormal"/>
        <w:jc w:val="right"/>
      </w:pPr>
    </w:p>
    <w:p w:rsidR="00316CB8" w:rsidRDefault="00316C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27C7" w:rsidRDefault="002027C7">
      <w:bookmarkStart w:id="3" w:name="_GoBack"/>
      <w:bookmarkEnd w:id="3"/>
    </w:p>
    <w:sectPr w:rsidR="002027C7" w:rsidSect="00771503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B8"/>
    <w:rsid w:val="002027C7"/>
    <w:rsid w:val="0031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CB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16CB8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16C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CB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16CB8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16C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0455280124392556214BC06FBA1E62151683E03EF7E70A71116F657E0B7AD10EF56B58309B1B3w6K1M" TargetMode="External"/><Relationship Id="rId13" Type="http://schemas.openxmlformats.org/officeDocument/2006/relationships/hyperlink" Target="consultantplus://offline/ref=0490455280124392556214BC06FBA1E62151683E03EF7E70A71116F657E0B7AD10EF56B58309B1B3w6K1M" TargetMode="External"/><Relationship Id="rId18" Type="http://schemas.openxmlformats.org/officeDocument/2006/relationships/hyperlink" Target="consultantplus://offline/ref=0490455280124392556214BC06FBA1E6215E6C3803E77E70A71116F657E0B7AD10EF56B58309B1B4w6K6M" TargetMode="External"/><Relationship Id="rId26" Type="http://schemas.openxmlformats.org/officeDocument/2006/relationships/hyperlink" Target="consultantplus://offline/ref=0490455280124392556214BC06FBA1E6215E6C3803E77E70A71116F657E0B7AD10EF56B58309B1B4w6K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490455280124392556214BC06FBA1E621506D320FE57E70A71116F657E0B7AD10EF56B58309B1B7w6KAM" TargetMode="External"/><Relationship Id="rId7" Type="http://schemas.openxmlformats.org/officeDocument/2006/relationships/hyperlink" Target="consultantplus://offline/ref=0490455280124392556214BC06FBA1E621506D320FE57E70A71116F657E0B7AD10EF56B58309B1B7w6K5M" TargetMode="External"/><Relationship Id="rId12" Type="http://schemas.openxmlformats.org/officeDocument/2006/relationships/hyperlink" Target="consultantplus://offline/ref=0490455280124392556214BC06FBA1E621506D320FE57E70A71116F657E0B7AD10EF56B58309B1B7w6K5M" TargetMode="External"/><Relationship Id="rId17" Type="http://schemas.openxmlformats.org/officeDocument/2006/relationships/hyperlink" Target="consultantplus://offline/ref=0490455280124392556214BC06FBA1E6215E6C3803E77E70A71116F657E0B7AD10EF56B58309B1B4w6K6M" TargetMode="External"/><Relationship Id="rId25" Type="http://schemas.openxmlformats.org/officeDocument/2006/relationships/hyperlink" Target="consultantplus://offline/ref=0490455280124392556214BC06FBA1E62151683E03EF7E70A71116F657E0B7AD10EF56B58309B1B3w6K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90455280124392556214BC06FBA1E621506A3B0EE37E70A71116F657wEK0M" TargetMode="External"/><Relationship Id="rId20" Type="http://schemas.openxmlformats.org/officeDocument/2006/relationships/hyperlink" Target="consultantplus://offline/ref=0490455280124392556214BC06FBA1E6215E6C3803E77E70A71116F657E0B7AD10EF56B58309B1B4w6K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90455280124392556214BC06FBA1E6215E6C3803E77E70A71116F657E0B7AD10EF56B58309B1B4w6K0M" TargetMode="External"/><Relationship Id="rId11" Type="http://schemas.openxmlformats.org/officeDocument/2006/relationships/hyperlink" Target="consultantplus://offline/ref=0490455280124392556214BC06FBA1E6215E6C3803E77E70A71116F657E0B7AD10EF56B58309B1B4w6K0M" TargetMode="External"/><Relationship Id="rId24" Type="http://schemas.openxmlformats.org/officeDocument/2006/relationships/hyperlink" Target="consultantplus://offline/ref=0490455280124392556214BC06FBA1E6215E6C3803E77E70A71116F657E0B7AD10EF56B58309B1B4w6K4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490455280124392556214BC06FBA1E627586C3C0BED237AAF481AF450EFE8BA17A65AB48309B1wBKAM" TargetMode="External"/><Relationship Id="rId23" Type="http://schemas.openxmlformats.org/officeDocument/2006/relationships/hyperlink" Target="consultantplus://offline/ref=0490455280124392556214BC06FBA1E621506D320FE57E70A71116F657E0B7AD10EF56B58309B1B6w6K7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490455280124392556214BC06FBA1E6215D693202E77E70A71116F657E0B7AD10EF56B58309B1B6w6K5M" TargetMode="External"/><Relationship Id="rId19" Type="http://schemas.openxmlformats.org/officeDocument/2006/relationships/hyperlink" Target="consultantplus://offline/ref=0490455280124392556214BC06FBA1E621506A3B0EE37E70A71116F657wEK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90455280124392556214BC06FBA1E6215E6B320CE37E70A71116F657wEK0M" TargetMode="External"/><Relationship Id="rId14" Type="http://schemas.openxmlformats.org/officeDocument/2006/relationships/hyperlink" Target="consultantplus://offline/ref=0490455280124392556214BC06FBA1E62150613F03E17E70A71116F657E0B7AD10EF56B58309B1B2w6K0M" TargetMode="External"/><Relationship Id="rId22" Type="http://schemas.openxmlformats.org/officeDocument/2006/relationships/hyperlink" Target="consultantplus://offline/ref=0490455280124392556214BC06FBA1E6215A683E09E17E70A71116F657E0B7AD10EF56B58309B1B3w6KA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4568</Words>
  <Characters>26040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2016-02-03T12:10:00Z</dcterms:created>
  <dcterms:modified xsi:type="dcterms:W3CDTF">2016-02-03T12:11:00Z</dcterms:modified>
</cp:coreProperties>
</file>