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C2" w:rsidRPr="00EF5C51" w:rsidRDefault="009B79C2" w:rsidP="00D525A0">
      <w:pPr>
        <w:spacing w:after="0"/>
        <w:rPr>
          <w:rFonts w:cs="Calibri"/>
          <w:b/>
          <w:color w:val="000000"/>
          <w:sz w:val="20"/>
          <w:szCs w:val="20"/>
        </w:rPr>
      </w:pPr>
    </w:p>
    <w:tbl>
      <w:tblPr>
        <w:tblW w:w="158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559"/>
        <w:gridCol w:w="6237"/>
        <w:gridCol w:w="1843"/>
        <w:gridCol w:w="1499"/>
        <w:gridCol w:w="1477"/>
        <w:gridCol w:w="1649"/>
      </w:tblGrid>
      <w:tr w:rsidR="009B79C2" w:rsidRPr="00EF5C51" w:rsidTr="00475394">
        <w:tc>
          <w:tcPr>
            <w:tcW w:w="561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F5C51">
              <w:rPr>
                <w:rFonts w:cs="Calibri"/>
                <w:b/>
                <w:sz w:val="20"/>
                <w:szCs w:val="20"/>
              </w:rPr>
              <w:t>№ п/п</w:t>
            </w:r>
          </w:p>
        </w:tc>
        <w:tc>
          <w:tcPr>
            <w:tcW w:w="255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F5C51">
              <w:rPr>
                <w:rFonts w:cs="Calibri"/>
                <w:b/>
                <w:sz w:val="20"/>
                <w:szCs w:val="20"/>
              </w:rPr>
              <w:t xml:space="preserve">Название семинара </w:t>
            </w:r>
          </w:p>
        </w:tc>
        <w:tc>
          <w:tcPr>
            <w:tcW w:w="623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F5C51">
              <w:rPr>
                <w:rFonts w:cs="Calibri"/>
                <w:b/>
                <w:sz w:val="20"/>
                <w:szCs w:val="20"/>
              </w:rPr>
              <w:t>Перечень рассматриваемых тем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F5C51">
              <w:rPr>
                <w:rFonts w:cs="Calibri"/>
                <w:b/>
                <w:sz w:val="20"/>
                <w:szCs w:val="20"/>
              </w:rPr>
              <w:t>ФИО лектора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F5C51">
              <w:rPr>
                <w:rFonts w:cs="Calibri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F5C51">
              <w:rPr>
                <w:rFonts w:cs="Calibri"/>
                <w:b/>
                <w:sz w:val="20"/>
                <w:szCs w:val="20"/>
              </w:rPr>
              <w:t>Стоимость, рублей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F5C51">
              <w:rPr>
                <w:rFonts w:cs="Calibri"/>
                <w:b/>
                <w:sz w:val="20"/>
                <w:szCs w:val="20"/>
              </w:rPr>
              <w:t>Выдаваемые документы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Правовые основы оценочной деятельности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О внесении изменений в Федеральный закон  «Об оценочной деятельности  в Российской федерации и о </w:t>
            </w:r>
            <w:r w:rsidRPr="00EF5C51">
              <w:rPr>
                <w:rStyle w:val="apple-style-span"/>
                <w:rFonts w:cs="Calibri"/>
                <w:color w:val="000000"/>
                <w:sz w:val="20"/>
                <w:szCs w:val="20"/>
              </w:rPr>
              <w:t xml:space="preserve"> применении новых федеральных стандартов оценочной детальности»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Шуклина М.А.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4 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Оценка стоимости ценных бумаг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Style w:val="apple-style-span"/>
                <w:rFonts w:cs="Calibri"/>
                <w:sz w:val="20"/>
                <w:szCs w:val="20"/>
              </w:rPr>
              <w:t>Обзор изменений в стандарты эмиссии ценных бумаг и порядок раскрытия информации.</w:t>
            </w:r>
          </w:p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 О внесении изменений в отдельные законодательные акты Российской федерации в связи с принятием Федерального закона «О центральном депозитарии»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Шуклина М.А.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4 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Основные изменения в налоговом законодательстве в 2012-2013 гг. и практика их применения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Контроль налоговых органов над трансфертным ценообразованием. Консолидированная группа налогоплательщиков. Иные изменения, внесенные в Часть 1 НК РФ. Основные изменения в системах налогообложения доходов и прибыли (НП и НДФЛ). Основные изменения в косвенном налогообложении (НДС). Основные изменения в имущественном налогообложении (налоги на имущество организации и физлиц).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Пергушев А.А.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4 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Доходный подход в оценке недвижимости 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Анализ рынка арендных ставок.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Расчет чистого операционного дохода.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Расчет ставки капитализации и дисконтирования.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Практика применения методов доходного подхода.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Мирзоян Н.В.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Использование метода квалиметрических моделей в оценке стоимости недвижимости 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Построение квалиметирческой модели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Построение дерева свойств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Построение шкалы для измерения свойств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Оценка интегрального показателя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Применение модели в сравнительном и доходном подходах к оценке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Мирзоян Н.В.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Сравнительный подход в оценке недвижимости</w:t>
            </w:r>
          </w:p>
        </w:tc>
        <w:tc>
          <w:tcPr>
            <w:tcW w:w="6237" w:type="dxa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Анализ рынка и цен продаж аналогов.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Отбор аналогов.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 xml:space="preserve">Анализ и определение величины корректировок, их применение. 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Применение метода сравнительного анализа продаж и метода валового рентного мультипликатора.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Мирзоян Н.В.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Использование модифицированных мультипликаторов в оценке стоимости недвижимости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Поиск информации в условиях слабой информационной обеспеченности для реализации сравнительного подхода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Создание модифицированных мультипликаторов в оценке недвижимости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Создание базы данных ориентировочных цен продаж на основе модифицированных мультипликаторов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Применение модифицированных мультипликаторов в сравнительном и доходном подходах к оценке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Мирзоян Н.В.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Группировка статистических данных в рамках анализа рынка и построение корректировочных таблиц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Выявление ценообразующих факторов на рынке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Ранжирование и группировка данных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Статистическая обработка базы данных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Построение корректировочных таблиц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Использование корректировочных таблиц в сравнительном и доходном подходах к оценке недвижимости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Мирзоян Н.В.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Затратный подход в оценке недвижимости</w:t>
            </w:r>
          </w:p>
        </w:tc>
        <w:tc>
          <w:tcPr>
            <w:tcW w:w="6237" w:type="dxa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Определение величины затрат на воспроизводство и замещение.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Определение величины прибыли предпринимателя.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Определение величины износа объекта.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Формирование стоимости объекта недвижимости в затратном подходе.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Мирзоян Н.В.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Оценка произведений искусства, в том числе антиквариата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Что же нам дают на оценку и история подделок.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Роль экспертизы при оценке произведений искусства.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Произведения искусства и интеллектуальная собственность.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Особенности оценки стоимости произведений искусства. Методические указания – стандарты ТПП РФ.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Гагагрин А.Г.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Рыночная оценка для начинающих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Как составить отчет полностью соответствующий Закону об оценочной деятельности и ФСО. Сжимаем текст максимально. Шаблон отчета.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Создание удобного шаблона отчета в Microsoft Word. Работа со стилями.  Автоматическое формирование оглавления.  Простой пример использования полей, позволяющий один раз ввести данные повторяющиеся в отчете несколько раз.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 xml:space="preserve">Определение поправки на площадь по результатам анализа рынка с использованием корреляционно-регрессионного анализа (EXCEL). Расчет поправки на площадь на используемых для расчета аналогах, соблюдение требований ФСО. 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Лихачева А.А.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Оценка материальных активов предприятий в целях составления финансовой отчетности согласно МСФО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numPr>
                <w:ilvl w:val="0"/>
                <w:numId w:val="3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Общие сведения о Международных стандартах финансовой отчетности: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IAS</w:t>
            </w:r>
            <w:r w:rsidRPr="00EF5C51">
              <w:rPr>
                <w:rFonts w:cs="Calibri"/>
                <w:sz w:val="20"/>
                <w:szCs w:val="20"/>
              </w:rPr>
              <w:t>) 1 «Представление финансовой отчетности»;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IAS</w:t>
            </w:r>
            <w:r w:rsidRPr="00EF5C51">
              <w:rPr>
                <w:rFonts w:cs="Calibri"/>
                <w:sz w:val="20"/>
                <w:szCs w:val="20"/>
              </w:rPr>
              <w:t xml:space="preserve">) 16 «Основные средства»; 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(IAS) 17 «Аренда»;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IAS</w:t>
            </w:r>
            <w:r w:rsidRPr="00EF5C51">
              <w:rPr>
                <w:rFonts w:cs="Calibri"/>
                <w:sz w:val="20"/>
                <w:szCs w:val="20"/>
              </w:rPr>
              <w:t>) 36 «Обесценение активов»;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EF5C51">
              <w:rPr>
                <w:rFonts w:cs="Calibri"/>
                <w:sz w:val="20"/>
                <w:szCs w:val="20"/>
              </w:rPr>
              <w:t>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IAS</w:t>
            </w:r>
            <w:r w:rsidRPr="00EF5C51">
              <w:rPr>
                <w:rFonts w:cs="Calibri"/>
                <w:sz w:val="20"/>
                <w:szCs w:val="20"/>
              </w:rPr>
              <w:t>) 40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EF5C51">
              <w:rPr>
                <w:rFonts w:cs="Calibri"/>
                <w:sz w:val="20"/>
                <w:szCs w:val="20"/>
              </w:rPr>
              <w:t>«Инвестиционная недвижимость»;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IFRS</w:t>
            </w:r>
            <w:r w:rsidRPr="00EF5C51">
              <w:rPr>
                <w:rFonts w:cs="Calibri"/>
                <w:sz w:val="20"/>
                <w:szCs w:val="20"/>
              </w:rPr>
              <w:t>) 1 «Принятие международных стандартов финансовой отчетности впервые»;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IFRS</w:t>
            </w:r>
            <w:r w:rsidRPr="00EF5C51">
              <w:rPr>
                <w:rFonts w:cs="Calibri"/>
                <w:sz w:val="20"/>
                <w:szCs w:val="20"/>
              </w:rPr>
              <w:t>) 3 «Объединения предприятий».</w:t>
            </w:r>
          </w:p>
          <w:p w:rsidR="009B79C2" w:rsidRPr="00EF5C51" w:rsidRDefault="009B79C2" w:rsidP="001274BA">
            <w:pPr>
              <w:numPr>
                <w:ilvl w:val="0"/>
                <w:numId w:val="3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Общие сведения о Международных стандартах оценки (МСО), применение МСО в оценке материальных активов для целей составления финансовой отчетности предприятий согласно МСФО. </w:t>
            </w:r>
          </w:p>
          <w:p w:rsidR="009B79C2" w:rsidRPr="00EF5C51" w:rsidRDefault="009B79C2" w:rsidP="001274BA">
            <w:pPr>
              <w:numPr>
                <w:ilvl w:val="0"/>
                <w:numId w:val="3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Основные понятия и определения МСФО и МСО, применительно к оценке материальных активов для целей составления финансовой отчетности предприятий согласно МСФО.</w:t>
            </w:r>
          </w:p>
          <w:p w:rsidR="009B79C2" w:rsidRPr="00EF5C51" w:rsidRDefault="009B79C2" w:rsidP="001274BA">
            <w:pPr>
              <w:numPr>
                <w:ilvl w:val="0"/>
                <w:numId w:val="3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Признание и классификация основных средств (в терминах РСБУ – основных средств, объектов, незавершенных строительством, и оборудования к установке) в оценке для целей составления финансовой отчетности.</w:t>
            </w:r>
          </w:p>
          <w:p w:rsidR="009B79C2" w:rsidRPr="00EF5C51" w:rsidRDefault="009B79C2" w:rsidP="001274BA">
            <w:pPr>
              <w:numPr>
                <w:ilvl w:val="0"/>
                <w:numId w:val="3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Определение базы расчета справедливой стоимости основных средств, выбор подходов и методов оценки справедливой стоимости.</w:t>
            </w:r>
          </w:p>
          <w:p w:rsidR="009B79C2" w:rsidRPr="00EF5C51" w:rsidRDefault="009B79C2" w:rsidP="001274BA">
            <w:pPr>
              <w:numPr>
                <w:ilvl w:val="0"/>
                <w:numId w:val="3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Процедура определения обесценения стоимости активов в целях составления отчетности по МФСО.</w:t>
            </w:r>
          </w:p>
          <w:p w:rsidR="009B79C2" w:rsidRPr="00EF5C51" w:rsidRDefault="009B79C2" w:rsidP="001274BA">
            <w:pPr>
              <w:numPr>
                <w:ilvl w:val="0"/>
                <w:numId w:val="3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Определение оставшегося срока службы материальных активов.</w:t>
            </w:r>
          </w:p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</w:p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Все вопросы семинара затрагивают положения и требования Международных стандартов финансовой отчетности в части проведения оценки стоимости основных средств некредитных организаций в целях составления финансовой отчетности. 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Участие в семинаре позволит слушателю получить общие представления о МСФО и МСО, применении МСО в оценке для целей составления финансовой отчетности, а также о порядке проведения оценки справедливой стоимости основных средств действующих предприятий. 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Секачев С.А.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Оценка нематериальных активов предприятий в целях составления финансовой отчетности согласно МСФО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numPr>
                <w:ilvl w:val="0"/>
                <w:numId w:val="4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Общие сведения о Международных стандартах финансовой отчетности: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IFRS</w:t>
            </w:r>
            <w:r w:rsidRPr="00EF5C51">
              <w:rPr>
                <w:rFonts w:cs="Calibri"/>
                <w:sz w:val="20"/>
                <w:szCs w:val="20"/>
              </w:rPr>
              <w:t xml:space="preserve">) 3 «Объединения предприятий»; 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EF5C51">
              <w:rPr>
                <w:rFonts w:cs="Calibri"/>
                <w:sz w:val="20"/>
                <w:szCs w:val="20"/>
              </w:rPr>
              <w:t>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IAS</w:t>
            </w:r>
            <w:r w:rsidRPr="00EF5C51">
              <w:rPr>
                <w:rFonts w:cs="Calibri"/>
                <w:sz w:val="20"/>
                <w:szCs w:val="20"/>
              </w:rPr>
              <w:t>) 38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EF5C51">
              <w:rPr>
                <w:rFonts w:cs="Calibri"/>
                <w:sz w:val="20"/>
                <w:szCs w:val="20"/>
              </w:rPr>
              <w:t>«Нематериальные активы»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;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175"/>
              </w:tabs>
              <w:spacing w:after="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IAS</w:t>
            </w:r>
            <w:r w:rsidRPr="00EF5C51">
              <w:rPr>
                <w:rFonts w:cs="Calibri"/>
                <w:sz w:val="20"/>
                <w:szCs w:val="20"/>
              </w:rPr>
              <w:t>) 36 «Обесценение активов»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:rsidR="009B79C2" w:rsidRPr="00EF5C51" w:rsidRDefault="009B79C2" w:rsidP="001274BA">
            <w:pPr>
              <w:numPr>
                <w:ilvl w:val="0"/>
                <w:numId w:val="4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Общие сведения о Международных стандартах оценки (МСО), применение МСО в оценке нематериальных активов для целей составления финансовой отчетности предприятий согласно МСФО. </w:t>
            </w:r>
          </w:p>
          <w:p w:rsidR="009B79C2" w:rsidRPr="00EF5C51" w:rsidRDefault="009B79C2" w:rsidP="001274BA">
            <w:pPr>
              <w:numPr>
                <w:ilvl w:val="0"/>
                <w:numId w:val="4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Основные понятия и определения МСФО и МСО, применительно к оценке нематериальных активов для целей составления финансовой отчетности предприятий согласно МСФО.</w:t>
            </w:r>
          </w:p>
          <w:p w:rsidR="009B79C2" w:rsidRPr="00EF5C51" w:rsidRDefault="009B79C2" w:rsidP="001274BA">
            <w:pPr>
              <w:numPr>
                <w:ilvl w:val="0"/>
                <w:numId w:val="4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Идентифицируемые нематериальные активы, порядок идентификации и классификации нематериальных активов (в соответствии с 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IFRS</w:t>
            </w:r>
            <w:r w:rsidRPr="00EF5C51">
              <w:rPr>
                <w:rFonts w:cs="Calibri"/>
                <w:sz w:val="20"/>
                <w:szCs w:val="20"/>
              </w:rPr>
              <w:t>) 3 «Объединения предприятий», 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IAS</w:t>
            </w:r>
            <w:r w:rsidRPr="00EF5C51">
              <w:rPr>
                <w:rFonts w:cs="Calibri"/>
                <w:sz w:val="20"/>
                <w:szCs w:val="20"/>
              </w:rPr>
              <w:t>) 38 «Нематериальные активы»).</w:t>
            </w:r>
          </w:p>
          <w:p w:rsidR="009B79C2" w:rsidRPr="00EF5C51" w:rsidRDefault="009B79C2" w:rsidP="001274BA">
            <w:pPr>
              <w:numPr>
                <w:ilvl w:val="0"/>
                <w:numId w:val="4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Выбор подходов и методов оценки справедливой стоимости идентифицируемых нематериальных активов.</w:t>
            </w:r>
          </w:p>
          <w:p w:rsidR="009B79C2" w:rsidRPr="00EF5C51" w:rsidRDefault="009B79C2" w:rsidP="001274BA">
            <w:pPr>
              <w:numPr>
                <w:ilvl w:val="0"/>
                <w:numId w:val="4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Процедура определения обесценения стоимости активов в целях составления отчетности по МФСО.</w:t>
            </w:r>
          </w:p>
          <w:p w:rsidR="009B79C2" w:rsidRPr="00EF5C51" w:rsidRDefault="009B79C2" w:rsidP="001274BA">
            <w:pPr>
              <w:numPr>
                <w:ilvl w:val="0"/>
                <w:numId w:val="4"/>
              </w:numPr>
              <w:tabs>
                <w:tab w:val="clear" w:pos="2339"/>
                <w:tab w:val="num" w:pos="175"/>
              </w:tabs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Определение оставшегося срока службы нематериальных активов.</w:t>
            </w:r>
          </w:p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Все вопросы семинара затрагивают положения и требования Международных стандартов финансовой отчетности в части проведения оценки стоимости нематериальных активов некредитных организаций в целях составления финансовой отчетности. 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Участие в семинаре позволит слушателю получить общие представления о МСФО и МСО, применении МСО в оценке для целей составления финансовой отчетности, а также о порядке проведения оценки справедливой стоимости идентифицируемых нематериальных активов действующих предприятий. 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Секачев С.А.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rPr>
          <w:trHeight w:val="2259"/>
        </w:trPr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Оценка прочих активов (кроме основных средств и нематериальных активов) и обязательств предприятий в целях составления финансовой отчетности согласно МСФО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numPr>
                <w:ilvl w:val="0"/>
                <w:numId w:val="5"/>
              </w:numPr>
              <w:tabs>
                <w:tab w:val="clear" w:pos="2339"/>
                <w:tab w:val="num" w:pos="-108"/>
              </w:tabs>
              <w:spacing w:after="12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Общие сведения о Международных стандартах финансовой отчетности: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-108"/>
              </w:tabs>
              <w:spacing w:after="12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IFRS</w:t>
            </w:r>
            <w:r w:rsidRPr="00EF5C51">
              <w:rPr>
                <w:rFonts w:cs="Calibri"/>
                <w:sz w:val="20"/>
                <w:szCs w:val="20"/>
              </w:rPr>
              <w:t xml:space="preserve">) 3 «Объединения предприятий»; </w:t>
            </w:r>
          </w:p>
          <w:p w:rsidR="009B79C2" w:rsidRPr="00EF5C51" w:rsidRDefault="009B79C2" w:rsidP="001274BA">
            <w:pPr>
              <w:numPr>
                <w:ilvl w:val="0"/>
                <w:numId w:val="2"/>
              </w:numPr>
              <w:tabs>
                <w:tab w:val="num" w:pos="-108"/>
              </w:tabs>
              <w:spacing w:after="120" w:line="240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МСФО (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IAS</w:t>
            </w:r>
            <w:r w:rsidRPr="00EF5C51">
              <w:rPr>
                <w:rFonts w:cs="Calibri"/>
                <w:sz w:val="20"/>
                <w:szCs w:val="20"/>
              </w:rPr>
              <w:t>) 2 «Запасы»</w:t>
            </w:r>
            <w:r w:rsidRPr="00EF5C51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:rsidR="009B79C2" w:rsidRPr="00EF5C51" w:rsidRDefault="009B79C2" w:rsidP="001274BA">
            <w:pPr>
              <w:numPr>
                <w:ilvl w:val="0"/>
                <w:numId w:val="5"/>
              </w:numPr>
              <w:tabs>
                <w:tab w:val="clear" w:pos="2339"/>
                <w:tab w:val="num" w:pos="-108"/>
              </w:tabs>
              <w:spacing w:after="12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Общие сведения о Международных стандартах оценки (МСО), применение МСО в оценке для целей составления финансовой отчетности предприятий согласно МСФО. </w:t>
            </w:r>
          </w:p>
          <w:p w:rsidR="009B79C2" w:rsidRPr="00EF5C51" w:rsidRDefault="009B79C2" w:rsidP="001274BA">
            <w:pPr>
              <w:numPr>
                <w:ilvl w:val="0"/>
                <w:numId w:val="5"/>
              </w:numPr>
              <w:tabs>
                <w:tab w:val="clear" w:pos="2339"/>
                <w:tab w:val="num" w:pos="-108"/>
              </w:tabs>
              <w:spacing w:after="12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Основные понятия и определения МСФО и МСО, применительно к оценке для целей составления финансовой отчетности предприятий согласно МСФО.</w:t>
            </w:r>
          </w:p>
          <w:p w:rsidR="009B79C2" w:rsidRPr="00EF5C51" w:rsidRDefault="009B79C2" w:rsidP="001274BA">
            <w:pPr>
              <w:numPr>
                <w:ilvl w:val="0"/>
                <w:numId w:val="5"/>
              </w:numPr>
              <w:tabs>
                <w:tab w:val="clear" w:pos="2339"/>
                <w:tab w:val="num" w:pos="-108"/>
              </w:tabs>
              <w:spacing w:after="12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Признание и классификация активов и обязательств для целей составления финансовой отчетности предприятия по МСФО.</w:t>
            </w:r>
          </w:p>
          <w:p w:rsidR="009B79C2" w:rsidRPr="00EF5C51" w:rsidRDefault="009B79C2" w:rsidP="001274BA">
            <w:pPr>
              <w:numPr>
                <w:ilvl w:val="0"/>
                <w:numId w:val="5"/>
              </w:numPr>
              <w:tabs>
                <w:tab w:val="clear" w:pos="2339"/>
                <w:tab w:val="num" w:pos="-108"/>
              </w:tabs>
              <w:spacing w:after="12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Определение базы расчета справедливой стоимости прочих активов (кроме основных средств, незавершенного строительства и нематериальных активов) и обязательств предприятия, выбор подходов и методов оценки справедливой стоимости.</w:t>
            </w:r>
          </w:p>
          <w:p w:rsidR="009B79C2" w:rsidRPr="00EF5C51" w:rsidRDefault="009B79C2" w:rsidP="001274BA">
            <w:pPr>
              <w:numPr>
                <w:ilvl w:val="0"/>
                <w:numId w:val="5"/>
              </w:numPr>
              <w:tabs>
                <w:tab w:val="clear" w:pos="2339"/>
                <w:tab w:val="num" w:pos="-108"/>
              </w:tabs>
              <w:spacing w:after="120" w:line="240" w:lineRule="auto"/>
              <w:ind w:left="459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Особенности оценки справедливой стоимости прочих активов, обязательств предприятия.</w:t>
            </w:r>
          </w:p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Все вопросы семинара затрагивают положения и требования Международных стандартов финансовой отчетности в части проведения оценки стоимости прочих активов (кроме основных средств и нематериальных активов) и обязательств некредитных организаций в целях составления финансовой отчетности. 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 xml:space="preserve">Участие в семинаре позволит слушателю получить общие представления о МСФО и МСО, применении МСО в оценке для целей составления финансовой отчетности, а также о порядке проведения оценки справедливой стоимости прочих активов (кроме основных средств и нематериальных активов) и обязательств (включая условные обязательства) действующих предприятий. 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Секачев С.А.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1B213D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Практические аспекты стратегического консалтинга</w:t>
            </w:r>
          </w:p>
        </w:tc>
        <w:tc>
          <w:tcPr>
            <w:tcW w:w="6237" w:type="dxa"/>
            <w:vAlign w:val="bottom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Исследование отрасли и конкуренции</w:t>
            </w:r>
            <w:r w:rsidRPr="00EF5C51">
              <w:rPr>
                <w:rFonts w:cs="Calibri"/>
                <w:sz w:val="20"/>
                <w:szCs w:val="20"/>
              </w:rPr>
              <w:br/>
              <w:t>Исследование цепочки добавленной стоимости</w:t>
            </w:r>
            <w:r w:rsidRPr="00EF5C51">
              <w:rPr>
                <w:rFonts w:cs="Calibri"/>
                <w:sz w:val="20"/>
                <w:szCs w:val="20"/>
              </w:rPr>
              <w:br/>
              <w:t>Анализ сегментации рынков</w:t>
            </w:r>
            <w:r w:rsidRPr="00EF5C51">
              <w:rPr>
                <w:rFonts w:cs="Calibri"/>
                <w:sz w:val="20"/>
                <w:szCs w:val="20"/>
              </w:rPr>
              <w:br/>
              <w:t>Приоритизация видов деятельности</w:t>
            </w:r>
            <w:r w:rsidRPr="00EF5C51">
              <w:rPr>
                <w:rFonts w:cs="Calibri"/>
                <w:sz w:val="20"/>
                <w:szCs w:val="20"/>
              </w:rPr>
              <w:br/>
              <w:t>Стратегии входа на рынок</w:t>
            </w:r>
            <w:r w:rsidRPr="00EF5C51">
              <w:rPr>
                <w:rFonts w:cs="Calibri"/>
                <w:sz w:val="20"/>
                <w:szCs w:val="20"/>
              </w:rPr>
              <w:br/>
              <w:t>Прогнозирование оптимального размера игрока на рынке</w:t>
            </w:r>
            <w:r w:rsidRPr="00EF5C51">
              <w:rPr>
                <w:rFonts w:cs="Calibri"/>
                <w:sz w:val="20"/>
                <w:szCs w:val="20"/>
              </w:rPr>
              <w:br/>
              <w:t>Определение величин потенциальной выручки и маржинальности продукции</w:t>
            </w:r>
            <w:r w:rsidRPr="00EF5C51">
              <w:rPr>
                <w:rFonts w:cs="Calibri"/>
                <w:sz w:val="20"/>
                <w:szCs w:val="20"/>
              </w:rPr>
              <w:br/>
              <w:t>Аспекты изучения новых отраслей бизнеса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Родин А.Ю.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Теория и практика оценки стоимости транспортных средств</w:t>
            </w:r>
          </w:p>
        </w:tc>
        <w:tc>
          <w:tcPr>
            <w:tcW w:w="6237" w:type="dxa"/>
            <w:vAlign w:val="center"/>
          </w:tcPr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Идентификационные характеристики транспортных средств.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Подходы и методы оценки стоимости транспортных средств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Оценка величины износа транспортных средств.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Style w:val="apple-converted-space"/>
                <w:rFonts w:cs="Calibri"/>
                <w:color w:val="000000"/>
                <w:sz w:val="20"/>
                <w:szCs w:val="20"/>
              </w:rPr>
              <w:t>Применение программных продуктов в оценке транспортных средств.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Фоменко А.Н.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  <w:tr w:rsidR="009B79C2" w:rsidRPr="00EF5C51" w:rsidTr="00475394">
        <w:tc>
          <w:tcPr>
            <w:tcW w:w="561" w:type="dxa"/>
          </w:tcPr>
          <w:p w:rsidR="009B79C2" w:rsidRPr="00EF5C51" w:rsidRDefault="009B79C2" w:rsidP="00D525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Независимая техническая экспертиза </w:t>
            </w:r>
            <w:r w:rsidRPr="00EF5C51">
              <w:rPr>
                <w:rFonts w:cs="Calibri"/>
                <w:color w:val="000000"/>
                <w:spacing w:val="-2"/>
                <w:sz w:val="20"/>
                <w:szCs w:val="20"/>
              </w:rPr>
              <w:t>транспортного средства. Судебная практика.</w:t>
            </w:r>
          </w:p>
        </w:tc>
        <w:tc>
          <w:tcPr>
            <w:tcW w:w="6237" w:type="dxa"/>
            <w:vAlign w:val="center"/>
          </w:tcPr>
          <w:p w:rsidR="009B79C2" w:rsidRPr="00EF5C51" w:rsidRDefault="009B79C2" w:rsidP="001274BA">
            <w:pPr>
              <w:rPr>
                <w:rFonts w:cs="Calibri"/>
                <w:color w:val="000000"/>
                <w:spacing w:val="-2"/>
                <w:sz w:val="20"/>
                <w:szCs w:val="20"/>
              </w:rPr>
            </w:pPr>
            <w:r w:rsidRPr="00EF5C51"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Методические основы и положения </w:t>
            </w:r>
            <w:r w:rsidRPr="00EF5C51">
              <w:rPr>
                <w:rFonts w:cs="Calibri"/>
                <w:color w:val="000000"/>
                <w:spacing w:val="-2"/>
                <w:sz w:val="20"/>
                <w:szCs w:val="20"/>
              </w:rPr>
              <w:t xml:space="preserve">по установлению методов, технологии, объема и стоимости ремонта </w:t>
            </w:r>
            <w:r w:rsidRPr="00EF5C51">
              <w:rPr>
                <w:rFonts w:cs="Calibri"/>
                <w:color w:val="000000"/>
                <w:spacing w:val="-3"/>
                <w:sz w:val="20"/>
                <w:szCs w:val="20"/>
              </w:rPr>
              <w:t xml:space="preserve">транспортного средства с учетом наличия </w:t>
            </w:r>
            <w:r w:rsidRPr="00EF5C51"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и характера его технических повреждений. </w:t>
            </w:r>
            <w:r w:rsidRPr="00EF5C51">
              <w:rPr>
                <w:rFonts w:cs="Calibri"/>
                <w:color w:val="000000"/>
                <w:spacing w:val="-2"/>
                <w:sz w:val="20"/>
                <w:szCs w:val="20"/>
              </w:rPr>
              <w:t xml:space="preserve">Организация и проведение </w:t>
            </w:r>
            <w:r w:rsidRPr="00EF5C51"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независимой технической экспертизы </w:t>
            </w:r>
            <w:r w:rsidRPr="00EF5C51">
              <w:rPr>
                <w:rFonts w:cs="Calibri"/>
                <w:color w:val="000000"/>
                <w:spacing w:val="-2"/>
                <w:sz w:val="20"/>
                <w:szCs w:val="20"/>
              </w:rPr>
              <w:t>транспортного средства.</w:t>
            </w:r>
          </w:p>
          <w:p w:rsidR="009B79C2" w:rsidRPr="00EF5C51" w:rsidRDefault="009B79C2" w:rsidP="001274BA">
            <w:pPr>
              <w:rPr>
                <w:rStyle w:val="apple-converted-space"/>
                <w:rFonts w:cs="Calibri"/>
                <w:color w:val="000000"/>
                <w:sz w:val="20"/>
                <w:szCs w:val="20"/>
              </w:rPr>
            </w:pPr>
            <w:r w:rsidRPr="00EF5C51">
              <w:rPr>
                <w:rFonts w:cs="Calibri"/>
                <w:color w:val="000000"/>
                <w:spacing w:val="-2"/>
                <w:sz w:val="20"/>
                <w:szCs w:val="20"/>
              </w:rPr>
              <w:t>Судебная практика использования отчетов об оценке транспортных средств в результате причиненного ущерба.</w:t>
            </w:r>
          </w:p>
        </w:tc>
        <w:tc>
          <w:tcPr>
            <w:tcW w:w="1843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Лосавио С.К.</w:t>
            </w:r>
          </w:p>
        </w:tc>
        <w:tc>
          <w:tcPr>
            <w:tcW w:w="149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EF5C51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649" w:type="dxa"/>
            <w:vAlign w:val="center"/>
          </w:tcPr>
          <w:p w:rsidR="009B79C2" w:rsidRPr="00EF5C51" w:rsidRDefault="009B79C2" w:rsidP="00475394">
            <w:pPr>
              <w:jc w:val="center"/>
              <w:rPr>
                <w:rFonts w:cs="Calibri"/>
                <w:sz w:val="20"/>
                <w:szCs w:val="20"/>
              </w:rPr>
            </w:pPr>
            <w:r w:rsidRPr="00EF5C51">
              <w:rPr>
                <w:rFonts w:cs="Calibri"/>
                <w:sz w:val="20"/>
                <w:szCs w:val="20"/>
              </w:rPr>
              <w:t>сертификат</w:t>
            </w:r>
          </w:p>
        </w:tc>
      </w:tr>
    </w:tbl>
    <w:p w:rsidR="009B79C2" w:rsidRPr="00EF5C51" w:rsidRDefault="009B79C2" w:rsidP="00D525A0">
      <w:pPr>
        <w:jc w:val="center"/>
        <w:rPr>
          <w:rFonts w:cs="Calibri"/>
          <w:sz w:val="20"/>
          <w:szCs w:val="20"/>
        </w:rPr>
      </w:pP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b/>
          <w:sz w:val="20"/>
          <w:szCs w:val="20"/>
        </w:rPr>
      </w:pPr>
      <w:r w:rsidRPr="00EF5C51">
        <w:rPr>
          <w:rFonts w:ascii="Calibri" w:hAnsi="Calibri" w:cs="Calibri"/>
          <w:b/>
          <w:sz w:val="20"/>
          <w:szCs w:val="20"/>
        </w:rPr>
        <w:t>Информация о лекторах: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b/>
          <w:sz w:val="20"/>
          <w:szCs w:val="20"/>
        </w:rPr>
      </w:pP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b/>
          <w:sz w:val="20"/>
          <w:szCs w:val="20"/>
        </w:rPr>
        <w:t>Шуклина Мария Александровна</w:t>
      </w:r>
      <w:r w:rsidRPr="00EF5C51">
        <w:rPr>
          <w:rFonts w:ascii="Calibri" w:hAnsi="Calibri" w:cs="Calibri"/>
          <w:sz w:val="20"/>
          <w:szCs w:val="20"/>
        </w:rPr>
        <w:t xml:space="preserve"> –  </w:t>
      </w:r>
      <w:r w:rsidRPr="00EF5C51">
        <w:rPr>
          <w:rFonts w:ascii="Calibri" w:hAnsi="Calibri" w:cs="Calibri"/>
          <w:b/>
          <w:sz w:val="20"/>
          <w:szCs w:val="20"/>
        </w:rPr>
        <w:t>к.с/х.н.,</w:t>
      </w:r>
      <w:r w:rsidRPr="00EF5C51">
        <w:rPr>
          <w:rFonts w:ascii="Calibri" w:hAnsi="Calibri" w:cs="Calibri"/>
          <w:sz w:val="20"/>
          <w:szCs w:val="20"/>
        </w:rPr>
        <w:t xml:space="preserve"> доцент кафедры Оценочной деятельности МФПУ «Синергия»,  практический опыт работы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2006 — по н/время заместитель директора Центра профессиональной переподготовки в МФПУ «Синергия»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2005 — 2006 Заместитель начальника отдела экономики и природных ресурсов Департамента имущественных и земельных отношений экономики и природопользования Минэкономразвития России, г. Москва.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2004–2006 г. Заместитель начальника отдела имущества организаций агропромышленного комплекса и природных ресурсов Управления имущества организаций коммерческого сектора Федерального агентства по управлению федеральным имуществом. г. Москва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2003–2004 г. Начальник отдела имущественных отношений в государственном секторе агропромышленного сектора (ФГУП) Управления имущества агропромышленного комплекса Минимущества России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2003–2004 г. Ведущий специалист Территориального управления Минимущества России «Агентство федерального имущества по городу Москве»,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2002–2003 г. ЗАО «Консультант — М», г. Волгоград Ведущий специалист по оценке бизнеса.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2000–2003 г. ЗАО «Агро-Гарант», Волгоград, директор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2000–2002 г. ЗАО ПО «Волгоград-Обувь», г. Волгоград. Первый заместитель генерального директора по финансам.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sz w:val="20"/>
          <w:szCs w:val="20"/>
        </w:rPr>
        <w:t>1996–2000 г. ОАО «Волгоградская агропромышленная финансовая корпорация», г. Волгоград. Директор департамента ценных бумаг и антикризисного управления, секретарь Совета директоров.</w:t>
      </w: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b/>
          <w:sz w:val="20"/>
          <w:szCs w:val="20"/>
        </w:rPr>
      </w:pPr>
    </w:p>
    <w:p w:rsidR="009B79C2" w:rsidRPr="00EF5C51" w:rsidRDefault="009B79C2" w:rsidP="00D525A0">
      <w:pPr>
        <w:pStyle w:val="class1323364103msonormal"/>
        <w:spacing w:beforeAutospacing="0" w:afterAutospacing="0"/>
        <w:jc w:val="both"/>
        <w:rPr>
          <w:rFonts w:ascii="Calibri" w:hAnsi="Calibri" w:cs="Calibri"/>
          <w:sz w:val="20"/>
          <w:szCs w:val="20"/>
        </w:rPr>
      </w:pPr>
      <w:r w:rsidRPr="00EF5C51">
        <w:rPr>
          <w:rFonts w:ascii="Calibri" w:hAnsi="Calibri" w:cs="Calibri"/>
          <w:b/>
          <w:sz w:val="20"/>
          <w:szCs w:val="20"/>
        </w:rPr>
        <w:t>Пергушев Александр Александрович</w:t>
      </w:r>
      <w:r w:rsidRPr="00EF5C51">
        <w:rPr>
          <w:rFonts w:ascii="Calibri" w:hAnsi="Calibri" w:cs="Calibri"/>
          <w:sz w:val="20"/>
          <w:szCs w:val="20"/>
        </w:rPr>
        <w:t xml:space="preserve"> –  заместитель заведующего кафедры Налогов и налогообложения МФПУ «Синергия», директор налогового департамента юридической компании «Партнер», практический опыт в области налогообложения с 2002г.</w:t>
      </w:r>
    </w:p>
    <w:p w:rsidR="009B79C2" w:rsidRPr="00EF5C51" w:rsidRDefault="009B79C2" w:rsidP="00D525A0">
      <w:pPr>
        <w:jc w:val="both"/>
        <w:rPr>
          <w:rFonts w:cs="Calibri"/>
          <w:b/>
          <w:sz w:val="20"/>
          <w:szCs w:val="20"/>
        </w:rPr>
      </w:pPr>
    </w:p>
    <w:p w:rsidR="009B79C2" w:rsidRPr="00EF5C51" w:rsidRDefault="009B79C2" w:rsidP="00D525A0">
      <w:pPr>
        <w:jc w:val="both"/>
        <w:rPr>
          <w:rFonts w:cs="Calibri"/>
          <w:sz w:val="20"/>
          <w:szCs w:val="20"/>
        </w:rPr>
      </w:pPr>
      <w:r w:rsidRPr="00EF5C51">
        <w:rPr>
          <w:rFonts w:cs="Calibri"/>
          <w:b/>
          <w:sz w:val="20"/>
          <w:szCs w:val="20"/>
        </w:rPr>
        <w:t>Мирзоян Наталия Витальевна</w:t>
      </w:r>
      <w:r w:rsidRPr="00EF5C51">
        <w:rPr>
          <w:rFonts w:cs="Calibri"/>
          <w:sz w:val="20"/>
          <w:szCs w:val="20"/>
        </w:rPr>
        <w:t xml:space="preserve"> –  </w:t>
      </w:r>
      <w:r w:rsidRPr="00EF5C51">
        <w:rPr>
          <w:rFonts w:cs="Calibri"/>
          <w:b/>
          <w:sz w:val="20"/>
          <w:szCs w:val="20"/>
        </w:rPr>
        <w:t>к.э.н.,</w:t>
      </w:r>
      <w:r w:rsidRPr="00EF5C51">
        <w:rPr>
          <w:rFonts w:cs="Calibri"/>
          <w:sz w:val="20"/>
          <w:szCs w:val="20"/>
        </w:rPr>
        <w:t xml:space="preserve"> доцент кафедры Оценочной деятельности МФПУ «Синергия», практикующий оценщик с 1999 года по настоящее время.</w:t>
      </w:r>
    </w:p>
    <w:p w:rsidR="009B79C2" w:rsidRPr="00EF5C51" w:rsidRDefault="009B79C2" w:rsidP="00D525A0">
      <w:pPr>
        <w:rPr>
          <w:rFonts w:cs="Calibri"/>
          <w:b/>
          <w:sz w:val="20"/>
          <w:szCs w:val="20"/>
        </w:rPr>
      </w:pPr>
      <w:r w:rsidRPr="00EF5C51">
        <w:rPr>
          <w:rFonts w:cs="Calibri"/>
          <w:b/>
          <w:sz w:val="20"/>
          <w:szCs w:val="20"/>
        </w:rPr>
        <w:t xml:space="preserve">Гагарин Александр Григорьевич </w:t>
      </w:r>
      <w:r w:rsidRPr="00EF5C51">
        <w:rPr>
          <w:rFonts w:cs="Calibri"/>
          <w:sz w:val="20"/>
          <w:szCs w:val="20"/>
        </w:rPr>
        <w:t xml:space="preserve">– </w:t>
      </w:r>
      <w:r w:rsidRPr="00EF5C51">
        <w:rPr>
          <w:rFonts w:cs="Calibri"/>
          <w:b/>
          <w:sz w:val="20"/>
          <w:szCs w:val="20"/>
        </w:rPr>
        <w:t>д</w:t>
      </w:r>
      <w:r w:rsidRPr="00EF5C51">
        <w:rPr>
          <w:rStyle w:val="Strong"/>
          <w:rFonts w:cs="Calibri"/>
          <w:sz w:val="20"/>
          <w:szCs w:val="20"/>
        </w:rPr>
        <w:t>.т.н., П</w:t>
      </w:r>
      <w:r w:rsidRPr="00EF5C51">
        <w:rPr>
          <w:rFonts w:cs="Calibri"/>
          <w:bCs/>
          <w:sz w:val="20"/>
          <w:szCs w:val="20"/>
        </w:rPr>
        <w:t xml:space="preserve">резидент НП "Коллегия экспертов и оценщиков ювелирных изделий и антиквариата",  </w:t>
      </w:r>
      <w:r w:rsidRPr="00EF5C51">
        <w:rPr>
          <w:rFonts w:cs="Calibri"/>
          <w:sz w:val="20"/>
          <w:szCs w:val="20"/>
        </w:rPr>
        <w:t xml:space="preserve"> 1957 окончил Московский институт химического машиностроения. В 1997 - Геммологический центр МГУ им. Ломоносова. </w:t>
      </w:r>
      <w:r w:rsidRPr="00EF5C51">
        <w:rPr>
          <w:rFonts w:cs="Calibri"/>
          <w:sz w:val="20"/>
          <w:szCs w:val="20"/>
        </w:rPr>
        <w:br/>
        <w:t xml:space="preserve">    До 1975 работал инженером. С 1975 по 1993 - заведующий лабораторией Академии Наук. С 1993 - оценщик собственности. </w:t>
      </w:r>
      <w:r w:rsidRPr="00EF5C51">
        <w:rPr>
          <w:rFonts w:cs="Calibri"/>
          <w:sz w:val="20"/>
          <w:szCs w:val="20"/>
        </w:rPr>
        <w:br/>
      </w:r>
    </w:p>
    <w:p w:rsidR="009B79C2" w:rsidRPr="00EF5C51" w:rsidRDefault="009B79C2" w:rsidP="00D525A0">
      <w:pPr>
        <w:jc w:val="both"/>
        <w:rPr>
          <w:rFonts w:cs="Calibri"/>
          <w:sz w:val="20"/>
          <w:szCs w:val="20"/>
        </w:rPr>
      </w:pPr>
      <w:r w:rsidRPr="00EF5C51">
        <w:rPr>
          <w:rFonts w:cs="Calibri"/>
          <w:b/>
          <w:sz w:val="20"/>
          <w:szCs w:val="20"/>
        </w:rPr>
        <w:t>Секачев Сергей Анатольевич – к.т.н.,</w:t>
      </w:r>
      <w:r w:rsidRPr="00EF5C51">
        <w:rPr>
          <w:rFonts w:cs="Calibri"/>
          <w:sz w:val="20"/>
          <w:szCs w:val="20"/>
        </w:rPr>
        <w:t xml:space="preserve"> практикующий оценщик, руководитель проектов ЗАО «Росэкспертиза»</w:t>
      </w:r>
      <w:r w:rsidRPr="00EF5C51">
        <w:rPr>
          <w:rFonts w:cs="Calibri"/>
          <w:b/>
          <w:sz w:val="20"/>
          <w:szCs w:val="20"/>
        </w:rPr>
        <w:tab/>
      </w:r>
      <w:r w:rsidRPr="00EF5C51">
        <w:rPr>
          <w:rFonts w:cs="Calibri"/>
          <w:b/>
          <w:sz w:val="20"/>
          <w:szCs w:val="20"/>
        </w:rPr>
        <w:tab/>
      </w:r>
    </w:p>
    <w:p w:rsidR="009B79C2" w:rsidRPr="00EF5C51" w:rsidRDefault="009B79C2" w:rsidP="00D525A0">
      <w:pPr>
        <w:rPr>
          <w:rFonts w:cs="Calibri"/>
          <w:sz w:val="20"/>
          <w:szCs w:val="20"/>
        </w:rPr>
      </w:pPr>
      <w:r w:rsidRPr="00EF5C51">
        <w:rPr>
          <w:rFonts w:cs="Calibri"/>
          <w:b/>
          <w:sz w:val="20"/>
          <w:szCs w:val="20"/>
        </w:rPr>
        <w:t>Фоменко Александр Никифорович – к.т.н.,</w:t>
      </w:r>
      <w:r w:rsidRPr="00EF5C51">
        <w:rPr>
          <w:rFonts w:cs="Calibri"/>
          <w:sz w:val="20"/>
          <w:szCs w:val="20"/>
        </w:rPr>
        <w:t xml:space="preserve"> доцент кафедры Оценочной деятельности МФПУ «Синергия», практикующий оценщик, генеральный директор ООО "АНФ-ОЦЕНКА", Член саморегулируемой организации: Общероссийская общественная организация  "Российское общество оценщиков" (РОО), член Экспертного совета РОО, Оценщик-партнер Сбербанка России, Сертифицированный РОО оценщик машин и оборудования, Сертифицированный РОО оценщик транспортных средств </w:t>
      </w:r>
    </w:p>
    <w:p w:rsidR="009B79C2" w:rsidRPr="00EF5C51" w:rsidRDefault="009B79C2" w:rsidP="00D525A0">
      <w:pPr>
        <w:rPr>
          <w:rFonts w:cs="Calibri"/>
          <w:sz w:val="20"/>
          <w:szCs w:val="20"/>
        </w:rPr>
      </w:pPr>
    </w:p>
    <w:p w:rsidR="009B79C2" w:rsidRPr="00EF5C51" w:rsidRDefault="009B79C2" w:rsidP="00D525A0">
      <w:pPr>
        <w:rPr>
          <w:rFonts w:cs="Calibri"/>
          <w:sz w:val="20"/>
          <w:szCs w:val="20"/>
        </w:rPr>
      </w:pPr>
      <w:r w:rsidRPr="00EF5C51">
        <w:rPr>
          <w:rFonts w:cs="Calibri"/>
          <w:b/>
          <w:color w:val="000000"/>
          <w:spacing w:val="-5"/>
          <w:sz w:val="20"/>
          <w:szCs w:val="20"/>
        </w:rPr>
        <w:t xml:space="preserve">Лосавио Сергей Константинович – к.т.н., </w:t>
      </w:r>
      <w:r w:rsidRPr="00EF5C51">
        <w:rPr>
          <w:rFonts w:cs="Calibri"/>
          <w:color w:val="000000"/>
          <w:spacing w:val="-5"/>
          <w:sz w:val="20"/>
          <w:szCs w:val="20"/>
        </w:rPr>
        <w:t xml:space="preserve">доцент </w:t>
      </w:r>
      <w:r w:rsidRPr="00EF5C51">
        <w:rPr>
          <w:rFonts w:cs="Calibri"/>
          <w:sz w:val="20"/>
          <w:szCs w:val="20"/>
        </w:rPr>
        <w:t>кафедры «Производство и ремонт автомобилей и дорожных машин»</w:t>
      </w:r>
      <w:r w:rsidRPr="00EF5C51">
        <w:rPr>
          <w:rFonts w:cs="Calibri"/>
          <w:color w:val="000000"/>
          <w:spacing w:val="-5"/>
          <w:sz w:val="20"/>
          <w:szCs w:val="20"/>
        </w:rPr>
        <w:t xml:space="preserve"> МАДИ, </w:t>
      </w:r>
      <w:r w:rsidRPr="00EF5C51">
        <w:rPr>
          <w:rFonts w:cs="Calibri"/>
          <w:sz w:val="20"/>
          <w:szCs w:val="20"/>
        </w:rPr>
        <w:t>Эксперт Международной ассоциации СовАск</w:t>
      </w:r>
      <w:r w:rsidRPr="00EF5C51">
        <w:rPr>
          <w:rFonts w:cs="Calibri"/>
          <w:color w:val="000000"/>
          <w:spacing w:val="-5"/>
          <w:sz w:val="20"/>
          <w:szCs w:val="20"/>
        </w:rPr>
        <w:t xml:space="preserve">, </w:t>
      </w:r>
      <w:r w:rsidRPr="00EF5C51">
        <w:rPr>
          <w:rFonts w:cs="Calibri"/>
          <w:sz w:val="20"/>
          <w:szCs w:val="20"/>
        </w:rPr>
        <w:t>Главный эксперт Института профессиональной оценки активов автотранспортного комплекса МАДИ</w:t>
      </w:r>
      <w:r w:rsidRPr="00EF5C51">
        <w:rPr>
          <w:rFonts w:cs="Calibri"/>
          <w:color w:val="000000"/>
          <w:spacing w:val="-5"/>
          <w:sz w:val="20"/>
          <w:szCs w:val="20"/>
        </w:rPr>
        <w:t xml:space="preserve">, эксперт-техник, судебный эксперт </w:t>
      </w:r>
    </w:p>
    <w:p w:rsidR="009B79C2" w:rsidRPr="00EF5C51" w:rsidRDefault="009B79C2" w:rsidP="00D525A0">
      <w:pPr>
        <w:jc w:val="both"/>
        <w:rPr>
          <w:rFonts w:cs="Calibri"/>
          <w:sz w:val="20"/>
          <w:szCs w:val="20"/>
        </w:rPr>
      </w:pPr>
    </w:p>
    <w:p w:rsidR="009B79C2" w:rsidRPr="00EF5C51" w:rsidRDefault="009B79C2" w:rsidP="00D525A0">
      <w:pPr>
        <w:spacing w:after="0"/>
        <w:rPr>
          <w:rFonts w:cs="Calibri"/>
          <w:b/>
          <w:color w:val="000000"/>
          <w:sz w:val="20"/>
          <w:szCs w:val="20"/>
        </w:rPr>
      </w:pPr>
    </w:p>
    <w:p w:rsidR="009B79C2" w:rsidRDefault="009B79C2"/>
    <w:sectPr w:rsidR="009B79C2" w:rsidSect="00971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303A"/>
    <w:multiLevelType w:val="hybridMultilevel"/>
    <w:tmpl w:val="9F726FB8"/>
    <w:lvl w:ilvl="0" w:tplc="9B94F31E">
      <w:start w:val="1"/>
      <w:numFmt w:val="bullet"/>
      <w:lvlText w:val=""/>
      <w:lvlJc w:val="left"/>
      <w:pPr>
        <w:ind w:left="3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1">
    <w:nsid w:val="32B92F11"/>
    <w:multiLevelType w:val="hybridMultilevel"/>
    <w:tmpl w:val="F88CB1DE"/>
    <w:lvl w:ilvl="0" w:tplc="8FA09842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  <w:rPr>
        <w:rFonts w:cs="Times New Roman"/>
      </w:rPr>
    </w:lvl>
  </w:abstractNum>
  <w:abstractNum w:abstractNumId="2">
    <w:nsid w:val="35AC455E"/>
    <w:multiLevelType w:val="hybridMultilevel"/>
    <w:tmpl w:val="F88CB1DE"/>
    <w:lvl w:ilvl="0" w:tplc="8FA09842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  <w:rPr>
        <w:rFonts w:cs="Times New Roman"/>
      </w:rPr>
    </w:lvl>
  </w:abstractNum>
  <w:abstractNum w:abstractNumId="3">
    <w:nsid w:val="49336B32"/>
    <w:multiLevelType w:val="hybridMultilevel"/>
    <w:tmpl w:val="F88CB1DE"/>
    <w:lvl w:ilvl="0" w:tplc="8FA09842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  <w:rPr>
        <w:rFonts w:cs="Times New Roman"/>
      </w:rPr>
    </w:lvl>
  </w:abstractNum>
  <w:abstractNum w:abstractNumId="4">
    <w:nsid w:val="5ABC3031"/>
    <w:multiLevelType w:val="hybridMultilevel"/>
    <w:tmpl w:val="1034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5A0"/>
    <w:rsid w:val="00087743"/>
    <w:rsid w:val="001274BA"/>
    <w:rsid w:val="001B213D"/>
    <w:rsid w:val="00252A53"/>
    <w:rsid w:val="00396D42"/>
    <w:rsid w:val="00475394"/>
    <w:rsid w:val="00614D7A"/>
    <w:rsid w:val="006503BD"/>
    <w:rsid w:val="0065298F"/>
    <w:rsid w:val="006903A0"/>
    <w:rsid w:val="00751616"/>
    <w:rsid w:val="008779F8"/>
    <w:rsid w:val="00916029"/>
    <w:rsid w:val="00971A45"/>
    <w:rsid w:val="009940A8"/>
    <w:rsid w:val="009B79C2"/>
    <w:rsid w:val="00BA25B8"/>
    <w:rsid w:val="00D525A0"/>
    <w:rsid w:val="00EF5C51"/>
    <w:rsid w:val="00F2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525A0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D525A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525A0"/>
    <w:rPr>
      <w:rFonts w:cs="Times New Roman"/>
    </w:rPr>
  </w:style>
  <w:style w:type="paragraph" w:customStyle="1" w:styleId="class1323364103msonormal">
    <w:name w:val="class_1323364103msonormal"/>
    <w:basedOn w:val="Normal"/>
    <w:uiPriority w:val="99"/>
    <w:rsid w:val="00D52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1982</Words>
  <Characters>11303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VAS</cp:lastModifiedBy>
  <cp:revision>3</cp:revision>
  <dcterms:created xsi:type="dcterms:W3CDTF">2013-04-15T08:34:00Z</dcterms:created>
  <dcterms:modified xsi:type="dcterms:W3CDTF">2013-04-16T11:41:00Z</dcterms:modified>
</cp:coreProperties>
</file>